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5F3B" w14:textId="15C40A73" w:rsidR="00CC1563" w:rsidRPr="00757A6F" w:rsidRDefault="00CC1563" w:rsidP="00CC1563">
      <w:pPr>
        <w:shd w:val="clear" w:color="auto" w:fill="FFFFFF"/>
        <w:spacing w:line="276" w:lineRule="auto"/>
        <w:jc w:val="right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757A6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São Paulo, </w:t>
      </w:r>
      <w:r w:rsidR="003B28DA">
        <w:rPr>
          <w:rFonts w:ascii="Arial" w:hAnsi="Arial" w:cs="Arial"/>
          <w:iCs/>
          <w:sz w:val="22"/>
          <w:szCs w:val="22"/>
          <w:shd w:val="clear" w:color="auto" w:fill="FFFFFF"/>
        </w:rPr>
        <w:t>26</w:t>
      </w:r>
      <w:r w:rsidRPr="00757A6F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de </w:t>
      </w:r>
      <w:proofErr w:type="spellStart"/>
      <w:r w:rsidRPr="00757A6F">
        <w:rPr>
          <w:rFonts w:ascii="Arial" w:hAnsi="Arial" w:cs="Arial"/>
          <w:iCs/>
          <w:sz w:val="22"/>
          <w:szCs w:val="22"/>
          <w:shd w:val="clear" w:color="auto" w:fill="FFFFFF"/>
        </w:rPr>
        <w:t>agosto</w:t>
      </w:r>
      <w:proofErr w:type="spellEnd"/>
      <w:r w:rsidRPr="00757A6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de 2021</w:t>
      </w:r>
    </w:p>
    <w:p w14:paraId="0C703C85" w14:textId="77777777" w:rsidR="00CC1563" w:rsidRPr="003726E3" w:rsidRDefault="00CC1563" w:rsidP="00CC156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CE64E0" w14:textId="77777777" w:rsidR="00CC1563" w:rsidRDefault="00CC1563" w:rsidP="00CC15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100C5CF" w14:textId="77777777" w:rsidR="00CC1563" w:rsidRDefault="00CC1563" w:rsidP="00CC15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5B16747" w14:textId="77777777" w:rsidR="00CC1563" w:rsidRPr="003726E3" w:rsidRDefault="00CC1563" w:rsidP="00CC15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726E3">
        <w:rPr>
          <w:rFonts w:ascii="Arial" w:hAnsi="Arial" w:cs="Arial"/>
          <w:b/>
          <w:sz w:val="22"/>
          <w:szCs w:val="22"/>
        </w:rPr>
        <w:t xml:space="preserve">Honda PCX 2022: a scooter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preferida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dos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brasileiros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chega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com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novas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cores e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grafismos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pronta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para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mais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um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ano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liderança</w:t>
      </w:r>
      <w:proofErr w:type="spellEnd"/>
      <w:r w:rsidRPr="003726E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3726E3">
        <w:rPr>
          <w:rFonts w:ascii="Arial" w:hAnsi="Arial" w:cs="Arial"/>
          <w:b/>
          <w:sz w:val="22"/>
          <w:szCs w:val="22"/>
        </w:rPr>
        <w:t>segmento</w:t>
      </w:r>
      <w:proofErr w:type="spellEnd"/>
    </w:p>
    <w:p w14:paraId="01D3B071" w14:textId="77777777" w:rsidR="00CC1563" w:rsidRPr="00B60115" w:rsidRDefault="00CC1563" w:rsidP="00CC15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1248185" w14:textId="77777777" w:rsidR="00CC1563" w:rsidRPr="00B60115" w:rsidRDefault="00CC1563" w:rsidP="00CC15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0899413" w14:textId="77777777" w:rsidR="00CC1563" w:rsidRPr="003726E3" w:rsidRDefault="00CC1563" w:rsidP="00CC1563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726E3">
        <w:rPr>
          <w:rFonts w:ascii="Arial" w:hAnsi="Arial" w:cs="Arial"/>
          <w:i/>
          <w:sz w:val="22"/>
          <w:szCs w:val="22"/>
        </w:rPr>
        <w:t>Disponível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em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quatro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versões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, a Honda PCX é,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desde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seu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lançamento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Pr="003726E3">
        <w:rPr>
          <w:rFonts w:ascii="Arial" w:hAnsi="Arial" w:cs="Arial"/>
          <w:i/>
          <w:sz w:val="22"/>
          <w:szCs w:val="22"/>
        </w:rPr>
        <w:t>a</w:t>
      </w:r>
      <w:proofErr w:type="gram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escolha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nº 1 dos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brasileiros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quando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assunto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é scooter.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Em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2020, o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modelo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foi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responsável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por 62% dos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emplacamentos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em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sua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categoria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acordo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com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os</w:t>
      </w:r>
      <w:proofErr w:type="spellEnd"/>
      <w:r w:rsidRPr="003726E3">
        <w:rPr>
          <w:rFonts w:ascii="Arial" w:hAnsi="Arial" w:cs="Arial"/>
          <w:i/>
          <w:sz w:val="22"/>
          <w:szCs w:val="22"/>
        </w:rPr>
        <w:t xml:space="preserve"> dados da </w:t>
      </w:r>
      <w:proofErr w:type="spellStart"/>
      <w:r w:rsidRPr="003726E3">
        <w:rPr>
          <w:rFonts w:ascii="Arial" w:hAnsi="Arial" w:cs="Arial"/>
          <w:i/>
          <w:sz w:val="22"/>
          <w:szCs w:val="22"/>
        </w:rPr>
        <w:t>Fenabrave</w:t>
      </w:r>
      <w:proofErr w:type="spellEnd"/>
    </w:p>
    <w:p w14:paraId="190275B2" w14:textId="77777777" w:rsidR="00CC1563" w:rsidRDefault="00CC1563" w:rsidP="00CC15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E69EA82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0564396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No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mercado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desde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2013 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já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sua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3ª 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geração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a Honda PCX é 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mais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bem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sucedido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modelo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mercado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nacional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das scooters. 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segmento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que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não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para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crescer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é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responsável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por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trazer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mundo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das duas rodas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novos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usuários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ávidos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pela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praticidade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economia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das scooters,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qualidades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nas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quais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a Honda PCX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1</w:t>
      </w:r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é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referência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.    </w:t>
      </w:r>
    </w:p>
    <w:p w14:paraId="586B9A79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311EAA6" w14:textId="3F81E381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Apesar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constantemente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modernizada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a PCX jamais se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distanciou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características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que 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consagraram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como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líder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disparada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entre as scooters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nacionais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com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múltiplas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qualidades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que 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colocam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no topo da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lista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dos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desejos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quem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exige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um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veículo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prático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econômico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manutenção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acessível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e com alto valor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revenda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3726E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Para 2022 as Honda PCX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continuarão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sendo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oferecidas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quatro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versões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>: PCX CBS, PCX ABS</w:t>
      </w:r>
      <w:r w:rsidR="008F13F6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r w:rsidRPr="003726E3">
        <w:rPr>
          <w:rFonts w:ascii="Arial" w:hAnsi="Arial" w:cs="Arial"/>
          <w:sz w:val="22"/>
          <w:szCs w:val="22"/>
          <w:shd w:val="clear" w:color="auto" w:fill="FFFFFF"/>
        </w:rPr>
        <w:t>PCX DLX ABS e a PCX Sport ABS.</w:t>
      </w:r>
    </w:p>
    <w:p w14:paraId="5163C236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B1E7EA2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F13F6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Na linha PCX, a versão de entrada é </w:t>
      </w:r>
      <w:r w:rsidRPr="008F13F6">
        <w:rPr>
          <w:rFonts w:ascii="Arial" w:hAnsi="Arial" w:cs="Arial"/>
          <w:sz w:val="22"/>
          <w:szCs w:val="22"/>
          <w:shd w:val="clear" w:color="auto" w:fill="FFFFFF"/>
        </w:rPr>
        <w:t xml:space="preserve">a PCX CBS, </w:t>
      </w:r>
      <w:proofErr w:type="spellStart"/>
      <w:r w:rsidRPr="008F13F6">
        <w:rPr>
          <w:rFonts w:ascii="Arial" w:hAnsi="Arial" w:cs="Arial"/>
          <w:sz w:val="22"/>
          <w:szCs w:val="22"/>
          <w:shd w:val="clear" w:color="auto" w:fill="FFFFFF"/>
        </w:rPr>
        <w:t>dotada</w:t>
      </w:r>
      <w:proofErr w:type="spellEnd"/>
      <w:r w:rsidRPr="008F13F6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 w:rsidRPr="008F13F6">
        <w:rPr>
          <w:rFonts w:ascii="Arial" w:hAnsi="Arial" w:cs="Arial"/>
          <w:sz w:val="22"/>
          <w:szCs w:val="22"/>
          <w:shd w:val="clear" w:color="auto" w:fill="FFFFFF"/>
        </w:rPr>
        <w:t>freio</w:t>
      </w:r>
      <w:proofErr w:type="spellEnd"/>
      <w:r w:rsidRPr="008F13F6">
        <w:rPr>
          <w:rFonts w:ascii="Arial" w:hAnsi="Arial" w:cs="Arial"/>
          <w:sz w:val="22"/>
          <w:szCs w:val="22"/>
          <w:shd w:val="clear" w:color="auto" w:fill="FFFFFF"/>
        </w:rPr>
        <w:t xml:space="preserve"> CBS – Combined Braking System –, que opera com </w:t>
      </w:r>
      <w:proofErr w:type="spellStart"/>
      <w:r w:rsidRPr="008F13F6">
        <w:rPr>
          <w:rFonts w:ascii="Arial" w:hAnsi="Arial" w:cs="Arial"/>
          <w:sz w:val="22"/>
          <w:szCs w:val="22"/>
          <w:shd w:val="clear" w:color="auto" w:fill="FFFFFF"/>
        </w:rPr>
        <w:t>freio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a disco na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dianteira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tambor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traseira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. 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particularidade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do CBS é 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distribuição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força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frenagem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modo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diferenciado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ambas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as rodas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através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manete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freio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esquerda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(30% na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dianteira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e 70% na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traseira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),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restando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manete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direito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</w:t>
      </w:r>
      <w:proofErr w:type="gram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atuação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exclusiva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no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freio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dianteiro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. O CBS é,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reconhecidamente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responsável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por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uma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importante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redução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nos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espaços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frenagem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particularmente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indicado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para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motociclistas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iniciantes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BED1811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1C130E6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A PCX ABS,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segundo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modelo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família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conta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com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Pr="00CC156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opção em cor metálica e </w:t>
      </w:r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sistema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frenagem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assistida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eletronicamente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roda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dianteira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freios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a disco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em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ambas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as rodas,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mesma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solução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adotada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pelos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modelos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“top”, a PCX DLX ABS e a PCX Sport ABS, que se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diferenciam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pelo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acabamento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: a DLX com paleta de cores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mais</w:t>
      </w:r>
      <w:proofErr w:type="spellEnd"/>
      <w:r w:rsidRPr="00CC15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C1563">
        <w:rPr>
          <w:rFonts w:ascii="Arial" w:hAnsi="Arial" w:cs="Arial"/>
          <w:sz w:val="22"/>
          <w:szCs w:val="22"/>
          <w:shd w:val="clear" w:color="auto" w:fill="FFFFFF"/>
        </w:rPr>
        <w:t>requintada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enquanto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à PCX Sport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recebeu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tonalidade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que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destaca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726E3">
        <w:rPr>
          <w:rFonts w:ascii="Arial" w:hAnsi="Arial" w:cs="Arial"/>
          <w:sz w:val="22"/>
          <w:szCs w:val="22"/>
          <w:shd w:val="clear" w:color="auto" w:fill="FFFFFF"/>
          <w:lang w:val="pt-BR"/>
        </w:rPr>
        <w:t>o</w:t>
      </w:r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caráter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mais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esportivo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B7DB089" w14:textId="77777777" w:rsidR="00CC1563" w:rsidRPr="003726E3" w:rsidRDefault="00CC1563" w:rsidP="00CC1563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FEA4E75" w14:textId="77777777" w:rsidR="00CC1563" w:rsidRPr="003726E3" w:rsidRDefault="00CC1563" w:rsidP="00CC156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Todas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as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versões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compartilham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mesma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arquitetura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técnica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. O motor é o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consagrado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monocilíndrico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SOHC </w:t>
      </w:r>
      <w:r w:rsidRPr="003726E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(Single Over Head Camshaft), </w:t>
      </w:r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4 tempos, com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injeção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eletrônica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PGM-FI </w:t>
      </w:r>
      <w:r w:rsidRPr="003726E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(Programmed Fuel Injection),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arrefecido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líquido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 com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transmissão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automática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continuamente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variável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CVT (V-Matic), com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potência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máxima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13,2 cv a 8.500 rpm e torque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máximo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1,38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kgf.m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5.000 rpm</w:t>
      </w:r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Dotado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eSP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(</w:t>
      </w:r>
      <w:r w:rsidRPr="003726E3">
        <w:rPr>
          <w:rFonts w:ascii="Arial" w:hAnsi="Arial" w:cs="Arial"/>
          <w:i/>
          <w:color w:val="000000"/>
          <w:sz w:val="22"/>
          <w:szCs w:val="22"/>
        </w:rPr>
        <w:t>enhanced Smart Power</w:t>
      </w:r>
      <w:r w:rsidRPr="003726E3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tal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dispositivo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reduz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rotação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do motor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automaticamente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quando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aceleração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constante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terreno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plano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beneficiando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economia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durabilidade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>.</w:t>
      </w:r>
    </w:p>
    <w:p w14:paraId="5AD0E4C6" w14:textId="77777777" w:rsidR="00CC1563" w:rsidRPr="003726E3" w:rsidRDefault="00CC1563" w:rsidP="00CC156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AE56CF4" w14:textId="77777777" w:rsidR="00CC1563" w:rsidRPr="003726E3" w:rsidRDefault="00CC1563" w:rsidP="00CC156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726E3">
        <w:rPr>
          <w:rFonts w:ascii="Arial" w:hAnsi="Arial" w:cs="Arial"/>
          <w:color w:val="000000"/>
          <w:sz w:val="22"/>
          <w:szCs w:val="22"/>
        </w:rPr>
        <w:lastRenderedPageBreak/>
        <w:t xml:space="preserve">Outro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destaque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técnico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exclusivo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das Honda PCX é o ISS – </w:t>
      </w:r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Idling Stop System, que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atua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desligando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automaticamente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 motor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nas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paradas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em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semáforos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religando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-o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assim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que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acelerador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>acionado</w:t>
      </w:r>
      <w:proofErr w:type="spellEnd"/>
      <w:r w:rsidRPr="003726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003726E3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transmissão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tipo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CVT V-Matic é outro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fator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atração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PCX, tanto pela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comodidade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na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condução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pela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robustez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cuja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manutenção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é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mínima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>.</w:t>
      </w:r>
    </w:p>
    <w:p w14:paraId="6E918B21" w14:textId="77777777" w:rsidR="00CC1563" w:rsidRPr="003726E3" w:rsidRDefault="00CC1563" w:rsidP="00CC156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0935D8F" w14:textId="77777777" w:rsidR="00CC1563" w:rsidRPr="003726E3" w:rsidRDefault="00CC1563" w:rsidP="00CC156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chassi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suspensões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, as PCX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dispõe</w:t>
      </w:r>
      <w:proofErr w:type="spellEnd"/>
      <w:r w:rsidRPr="003726E3">
        <w:rPr>
          <w:rFonts w:ascii="Arial" w:hAnsi="Arial" w:cs="Arial"/>
          <w:color w:val="000000"/>
          <w:sz w:val="22"/>
          <w:szCs w:val="22"/>
          <w:lang w:val="pt-BR"/>
        </w:rPr>
        <w:t>m</w:t>
      </w:r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uma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reforçada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estrutura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tubos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aço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, com suspensão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telescópica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hidráulica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na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dianteira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enquanto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na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traseira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os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amortecedores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contam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com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molas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três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estágios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Ambas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as rodas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são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14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polegadas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calçadas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com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pneus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100/80-14 na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dianteira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e 120/70-14 na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traseira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>.</w:t>
      </w:r>
    </w:p>
    <w:p w14:paraId="1079186F" w14:textId="77777777" w:rsidR="00CC1563" w:rsidRPr="003726E3" w:rsidRDefault="00CC1563" w:rsidP="00CC156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0AB19DE" w14:textId="77777777" w:rsidR="00CC1563" w:rsidRPr="003726E3" w:rsidRDefault="00CC1563" w:rsidP="00CC1563">
      <w:pPr>
        <w:spacing w:line="276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Completa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modernidade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dos Honda PCX 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painel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com display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tipo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Blackout, </w:t>
      </w:r>
      <w:proofErr w:type="gramStart"/>
      <w:r w:rsidRPr="003726E3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iluminação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por LED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nas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DRL – </w:t>
      </w:r>
      <w:r w:rsidRPr="003726E3">
        <w:rPr>
          <w:rFonts w:ascii="Arial" w:hAnsi="Arial" w:cs="Arial"/>
          <w:i/>
          <w:color w:val="000000"/>
          <w:sz w:val="22"/>
          <w:szCs w:val="22"/>
        </w:rPr>
        <w:t>Daytime Running Light</w:t>
      </w:r>
      <w:r w:rsidRPr="003726E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luzes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rodagem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diurna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farol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lanterna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traseira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Clássica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comodidade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das scooters, 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compartimento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sob o banco das PCX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conta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com 28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litros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capacidade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6E3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prático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abertura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através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tecla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situada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lado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botão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partida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. À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esquerda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do escudo frontal</w:t>
      </w:r>
      <w:r w:rsidRPr="003726E3">
        <w:rPr>
          <w:rFonts w:ascii="Arial" w:hAnsi="Arial" w:cs="Arial"/>
          <w:color w:val="000000"/>
          <w:sz w:val="22"/>
          <w:szCs w:val="22"/>
          <w:lang w:val="pt-BR"/>
        </w:rPr>
        <w:t xml:space="preserve"> há </w:t>
      </w:r>
      <w:r w:rsidRPr="003726E3">
        <w:rPr>
          <w:rFonts w:ascii="Arial" w:hAnsi="Arial" w:cs="Arial"/>
          <w:color w:val="000000"/>
          <w:sz w:val="22"/>
          <w:szCs w:val="22"/>
        </w:rPr>
        <w:t xml:space="preserve">um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compartimento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6E3">
        <w:rPr>
          <w:rFonts w:ascii="Arial" w:hAnsi="Arial" w:cs="Arial"/>
          <w:color w:val="000000"/>
          <w:sz w:val="22"/>
          <w:szCs w:val="22"/>
          <w:lang w:val="pt-BR"/>
        </w:rPr>
        <w:t xml:space="preserve">dotado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tomada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12V. As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versões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PCX Sport e PCX DLX </w:t>
      </w:r>
      <w:r w:rsidRPr="003726E3">
        <w:rPr>
          <w:rFonts w:ascii="Arial" w:hAnsi="Arial" w:cs="Arial"/>
          <w:color w:val="000000"/>
          <w:sz w:val="22"/>
          <w:szCs w:val="22"/>
          <w:lang w:val="pt-BR"/>
        </w:rPr>
        <w:t>contam com o</w:t>
      </w:r>
      <w:r w:rsidRPr="003726E3">
        <w:rPr>
          <w:rFonts w:ascii="Arial" w:hAnsi="Arial" w:cs="Arial"/>
          <w:color w:val="000000"/>
          <w:sz w:val="22"/>
          <w:szCs w:val="22"/>
        </w:rPr>
        <w:t xml:space="preserve"> Smart Key System, sensor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presencial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destrava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botão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partida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tecla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acesso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compartimento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sob banco 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tanque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combustível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. Nos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demais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modelos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da PCX, a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partida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ocorre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por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chave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comanda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dispositivo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/>
          <w:sz w:val="22"/>
          <w:szCs w:val="22"/>
        </w:rPr>
        <w:t>antifurto</w:t>
      </w:r>
      <w:proofErr w:type="spellEnd"/>
      <w:r w:rsidRPr="003726E3">
        <w:rPr>
          <w:rFonts w:ascii="Arial" w:hAnsi="Arial" w:cs="Arial"/>
          <w:color w:val="000000"/>
          <w:sz w:val="22"/>
          <w:szCs w:val="22"/>
        </w:rPr>
        <w:t xml:space="preserve"> Shutter Key.</w:t>
      </w:r>
    </w:p>
    <w:p w14:paraId="0F0C0E54" w14:textId="4C963247" w:rsidR="00CC1563" w:rsidRPr="003726E3" w:rsidRDefault="00CC1563" w:rsidP="00CC1563">
      <w:pPr>
        <w:spacing w:before="100" w:beforeAutospacing="1" w:after="100" w:afterAutospacing="1" w:line="276" w:lineRule="auto"/>
        <w:jc w:val="both"/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As Honda PCX 2022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estarão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disponíveis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nas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concessionárias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Honda de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todo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território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nacional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partir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="003B28DA">
        <w:rPr>
          <w:rFonts w:ascii="Arial" w:hAnsi="Arial" w:cs="Arial"/>
          <w:sz w:val="22"/>
          <w:szCs w:val="22"/>
        </w:rPr>
        <w:t>setembro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garantia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é </w:t>
      </w:r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três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anos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limite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quilometragem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além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sete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trocas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óleo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gratuitas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Abaixo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as cores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disponíveis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para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cada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uma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das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quatro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versões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seus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preços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726E3">
        <w:rPr>
          <w:rFonts w:ascii="Arial" w:hAnsi="Arial" w:cs="Arial"/>
          <w:sz w:val="22"/>
          <w:szCs w:val="22"/>
          <w:shd w:val="clear" w:color="auto" w:fill="FFFFFF"/>
        </w:rPr>
        <w:t>sugeridos</w:t>
      </w:r>
      <w:proofErr w:type="spellEnd"/>
      <w:r w:rsidRPr="003726E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valores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têm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como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base o Distrito Federal e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não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inclui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despesas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com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frete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ou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26E3">
        <w:rPr>
          <w:rFonts w:ascii="Arial" w:hAnsi="Arial" w:cs="Arial"/>
          <w:color w:val="000000" w:themeColor="text1"/>
          <w:sz w:val="22"/>
          <w:szCs w:val="22"/>
        </w:rPr>
        <w:t>seguro</w:t>
      </w:r>
      <w:proofErr w:type="spellEnd"/>
      <w:r w:rsidRPr="003726E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8E543A" w14:textId="77777777" w:rsidR="00CC1563" w:rsidRPr="003726E3" w:rsidRDefault="00CC1563" w:rsidP="00CC1563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PCX CBS: Azul Perolizado, R$ 13.510,00</w:t>
      </w:r>
    </w:p>
    <w:p w14:paraId="5B421940" w14:textId="77777777" w:rsidR="00CC1563" w:rsidRPr="003726E3" w:rsidRDefault="00CC1563" w:rsidP="00CC1563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PCX ABS: Cinza Metálico, R$ 14.990,00</w:t>
      </w:r>
    </w:p>
    <w:p w14:paraId="11CF8079" w14:textId="77777777" w:rsidR="00CC1563" w:rsidRPr="003726E3" w:rsidRDefault="00CC1563" w:rsidP="00CC1563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PCX DLX ABS: Prata Metálico, R$ 15.390,00</w:t>
      </w:r>
    </w:p>
    <w:p w14:paraId="60805BBA" w14:textId="77777777" w:rsidR="00CC1563" w:rsidRPr="003726E3" w:rsidRDefault="00CC1563" w:rsidP="00CC1563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PCX Sport ABS: Branco Fosco, R$ 15.390,00 </w:t>
      </w:r>
    </w:p>
    <w:bookmarkEnd w:id="0"/>
    <w:p w14:paraId="374BCA22" w14:textId="77777777" w:rsidR="00CC1563" w:rsidRDefault="00CC1563" w:rsidP="00CC1563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719652D7" w14:textId="77777777" w:rsidR="00CC1563" w:rsidRDefault="00CC1563" w:rsidP="00CC1563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EF4EFCD" w14:textId="77777777" w:rsidR="00CC1563" w:rsidRDefault="00CC1563" w:rsidP="00CC1563">
      <w:pPr>
        <w:spacing w:line="276" w:lineRule="auto"/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Sobre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Honda no Brasil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1971, a Honda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iniciava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no Brasil as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vendas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suas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primeiras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motocicletas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importadas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Cinco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anos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depois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era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inaugurada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fábrica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Moto Honda da Amazônia,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Manaus, que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completa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45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anos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existência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2021,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lado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CG, 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veículo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vendido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Brasil.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lá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cá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unidade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produziu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25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milhões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motos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além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quadriciclos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e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motores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estacionários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formam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linha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Produtos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Força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Honda no País,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também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composta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por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motobombas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roçadeiras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geradores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entre outros. Para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facilitar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acesso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produtos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marca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1981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nasceu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Consórcio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Honda,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administradora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consórcios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referência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mercado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nacional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que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faz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parte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estrutura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Honda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Serviços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Financeiros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também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composta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pela Seguros Honda e o Banco Honda. Dando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continuidade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trajetória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crescimento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1992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chegavam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Brasil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primeiros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automóveis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Honda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importados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e,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pouco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tempo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depois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1997 a Honda Automóveis do Brasil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iniciava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produção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Civic,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Sumaré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(SP).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segunda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planta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automóveis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marca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construída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cidade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Itirapina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(SP),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foi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inaugurada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2019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concentrará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partir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2021,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toda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produção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modelos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locais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enquanto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unidade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Sumaré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consolidará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como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centro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lastRenderedPageBreak/>
        <w:t>produção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motores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componentes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desenvolvimento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produtos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estratégia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gestão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negócios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grupo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Honda.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Atualmente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2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milhões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automóveis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marca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já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foram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produzidos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solo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nacional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Durante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esses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anos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empresa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também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inaugurou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Centros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Educacionais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Trânsito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Treinamento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Técnico,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Distribuição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Peças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e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Pesquisa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Desenvolvimento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Estruturou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uma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rede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concessionárias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hoje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composta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por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aproximadamente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1.300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endereços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2014,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uma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iniciativa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inédita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segmento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a Honda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inaugurou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seu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primeiro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parque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eólico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mundo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na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cidade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Xangri-Lá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(RS). 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empreendimento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supre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toda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demanda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energia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elétrica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plantas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automóveis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no interior de São Paulo e do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escritório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na capital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paulista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reduzindo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impactos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ambientais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operações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empresa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2015, a Honda Aircraft Company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anunciou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expansão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vendas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HondaJet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jato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executivo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avançado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mundo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para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Brasil.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Saiba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mais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  <w:shd w:val="clear" w:color="auto" w:fill="FFFFFF"/>
          </w:rPr>
          <w:t>www.honda.com.br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e </w:t>
      </w:r>
      <w:hyperlink r:id="rId7" w:tgtFrame="_blank" w:history="1">
        <w:r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  <w:shd w:val="clear" w:color="auto" w:fill="FFFFFF"/>
          </w:rPr>
          <w:t>www.facebook.com/HondaBR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50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da Honda no Brasil | 45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anos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da Moto Honda da Amazônia | 45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anos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da CG | 40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anos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Consórcio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Honda</w:t>
      </w:r>
    </w:p>
    <w:p w14:paraId="05A06252" w14:textId="77777777" w:rsidR="00CC1563" w:rsidRPr="00F71B5E" w:rsidRDefault="00CC1563" w:rsidP="00CC1563">
      <w:pPr>
        <w:spacing w:line="276" w:lineRule="auto"/>
        <w:jc w:val="both"/>
        <w:textAlignment w:val="center"/>
        <w:rPr>
          <w:rFonts w:ascii="Arial" w:hAnsi="Arial" w:cs="Arial"/>
          <w:color w:val="000000"/>
          <w:lang w:val="pt-BR"/>
        </w:rPr>
      </w:pPr>
    </w:p>
    <w:p w14:paraId="74E884E8" w14:textId="77777777" w:rsidR="00BF60BF" w:rsidRDefault="00BB3C3E"/>
    <w:sectPr w:rsidR="00BF60BF" w:rsidSect="00037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F27C" w14:textId="77777777" w:rsidR="00A77969" w:rsidRDefault="003B28DA">
      <w:r>
        <w:separator/>
      </w:r>
    </w:p>
  </w:endnote>
  <w:endnote w:type="continuationSeparator" w:id="0">
    <w:p w14:paraId="0E130E98" w14:textId="77777777" w:rsidR="00A77969" w:rsidRDefault="003B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C441" w14:textId="77777777" w:rsidR="00393DF4" w:rsidRDefault="00BB3C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0AC" w14:textId="77777777" w:rsidR="00393DF4" w:rsidRDefault="00BB3C3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06BC" w14:textId="77777777" w:rsidR="00393DF4" w:rsidRDefault="00BB3C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68DE" w14:textId="77777777" w:rsidR="00A77969" w:rsidRDefault="003B28DA">
      <w:r>
        <w:separator/>
      </w:r>
    </w:p>
  </w:footnote>
  <w:footnote w:type="continuationSeparator" w:id="0">
    <w:p w14:paraId="228760A7" w14:textId="77777777" w:rsidR="00A77969" w:rsidRDefault="003B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FF9D" w14:textId="77777777" w:rsidR="00393DF4" w:rsidRDefault="00BB3C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9E72" w14:textId="77777777" w:rsidR="00E4077A" w:rsidRDefault="00CC1563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3648B529" wp14:editId="1E5AA86F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A693" w14:textId="77777777" w:rsidR="00393DF4" w:rsidRDefault="00BB3C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3"/>
    <w:rsid w:val="00377BDE"/>
    <w:rsid w:val="003B28DA"/>
    <w:rsid w:val="008F13F6"/>
    <w:rsid w:val="00A77969"/>
    <w:rsid w:val="00BB3C3E"/>
    <w:rsid w:val="00C970E4"/>
    <w:rsid w:val="00C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E05"/>
  <w15:chartTrackingRefBased/>
  <w15:docId w15:val="{B2B05DCF-761C-4761-B238-57396109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563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C156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1563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CC1563"/>
    <w:rPr>
      <w:rFonts w:ascii="Calibri" w:eastAsia="Times New Roman" w:hAnsi="Calibri" w:cs="Times New Roman"/>
      <w:lang w:eastAsia="pt-BR"/>
    </w:rPr>
  </w:style>
  <w:style w:type="character" w:styleId="Forte">
    <w:name w:val="Strong"/>
    <w:uiPriority w:val="22"/>
    <w:qFormat/>
    <w:rsid w:val="00CC1563"/>
    <w:rPr>
      <w:b/>
      <w:bCs/>
    </w:rPr>
  </w:style>
  <w:style w:type="character" w:styleId="Hyperlink">
    <w:name w:val="Hyperlink"/>
    <w:uiPriority w:val="99"/>
    <w:unhideWhenUsed/>
    <w:rsid w:val="00CC1563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C15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563"/>
    <w:pPr>
      <w:spacing w:after="200"/>
    </w:pPr>
    <w:rPr>
      <w:rFonts w:ascii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563"/>
    <w:rPr>
      <w:rFonts w:ascii="Calibri" w:eastAsia="Times New Roman" w:hAnsi="Calibri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C1563"/>
    <w:pPr>
      <w:spacing w:before="100" w:beforeAutospacing="1" w:after="100" w:afterAutospacing="1"/>
    </w:pPr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8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5969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Mathias Castro Leite Ghigonetto</dc:creator>
  <cp:keywords/>
  <dc:description/>
  <cp:lastModifiedBy>Marcello Mathias Castro Leite Ghigonetto</cp:lastModifiedBy>
  <cp:revision>2</cp:revision>
  <cp:lastPrinted>2021-08-25T18:16:00Z</cp:lastPrinted>
  <dcterms:created xsi:type="dcterms:W3CDTF">2021-08-26T14:17:00Z</dcterms:created>
  <dcterms:modified xsi:type="dcterms:W3CDTF">2021-08-26T14:17:00Z</dcterms:modified>
</cp:coreProperties>
</file>