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CB41" w14:textId="19DC7A4F" w:rsidR="00E61D5F" w:rsidRPr="00D46473" w:rsidRDefault="00A97903" w:rsidP="00AE116D">
      <w:pPr>
        <w:jc w:val="center"/>
        <w:rPr>
          <w:b/>
          <w:bCs/>
          <w:sz w:val="24"/>
          <w:szCs w:val="24"/>
        </w:rPr>
      </w:pPr>
      <w:r w:rsidRPr="00D46473">
        <w:rPr>
          <w:b/>
          <w:bCs/>
          <w:sz w:val="24"/>
          <w:szCs w:val="24"/>
        </w:rPr>
        <w:t xml:space="preserve">Honda apresenta iniciativas para a utilização do Honda Mobile Power Pack, </w:t>
      </w:r>
      <w:r w:rsidR="00384A91">
        <w:rPr>
          <w:b/>
          <w:bCs/>
          <w:sz w:val="24"/>
          <w:szCs w:val="24"/>
        </w:rPr>
        <w:t xml:space="preserve">tecnologia de </w:t>
      </w:r>
      <w:r w:rsidRPr="00D46473">
        <w:rPr>
          <w:b/>
          <w:bCs/>
          <w:sz w:val="24"/>
          <w:szCs w:val="24"/>
        </w:rPr>
        <w:t xml:space="preserve">baterias portáteis </w:t>
      </w:r>
      <w:r w:rsidRPr="00060EEF">
        <w:rPr>
          <w:b/>
          <w:bCs/>
          <w:sz w:val="24"/>
          <w:szCs w:val="24"/>
        </w:rPr>
        <w:t xml:space="preserve">e </w:t>
      </w:r>
      <w:r w:rsidR="00384A91" w:rsidRPr="004361F6">
        <w:rPr>
          <w:b/>
          <w:bCs/>
          <w:sz w:val="24"/>
          <w:szCs w:val="24"/>
        </w:rPr>
        <w:t>intercambiáveis</w:t>
      </w:r>
    </w:p>
    <w:p w14:paraId="4D35CAA4" w14:textId="77777777" w:rsidR="0001673E" w:rsidRDefault="0001673E" w:rsidP="00A97903"/>
    <w:p w14:paraId="1FF9CF28" w14:textId="4270C762" w:rsidR="00A97903" w:rsidRDefault="00A97903" w:rsidP="00D46473">
      <w:pPr>
        <w:jc w:val="both"/>
      </w:pPr>
      <w:r w:rsidRPr="00AA1398">
        <w:rPr>
          <w:b/>
          <w:bCs/>
        </w:rPr>
        <w:t>Tóquio, Japão, 29 de outubro de 2021</w:t>
      </w:r>
      <w:r>
        <w:t xml:space="preserve"> - A Honda Motor Co. </w:t>
      </w:r>
      <w:r w:rsidR="00643011">
        <w:t>apresentou</w:t>
      </w:r>
      <w:r w:rsidR="00AE116D">
        <w:t xml:space="preserve"> </w:t>
      </w:r>
      <w:r w:rsidR="00A34B95">
        <w:t xml:space="preserve">as opções de </w:t>
      </w:r>
      <w:r>
        <w:t xml:space="preserve">utilização do Honda Mobile Power Pack (MPP), </w:t>
      </w:r>
      <w:r w:rsidR="00A34B95">
        <w:t xml:space="preserve">sistema </w:t>
      </w:r>
      <w:r w:rsidR="00D46473">
        <w:t xml:space="preserve">de baterias </w:t>
      </w:r>
      <w:r w:rsidR="00D46473" w:rsidRPr="003536AE">
        <w:t xml:space="preserve">portáteis </w:t>
      </w:r>
      <w:r w:rsidRPr="003536AE">
        <w:t xml:space="preserve">e </w:t>
      </w:r>
      <w:r w:rsidR="00E566B5">
        <w:t>intercambiáveis</w:t>
      </w:r>
      <w:r w:rsidR="00D46473" w:rsidRPr="003536AE">
        <w:t xml:space="preserve"> </w:t>
      </w:r>
      <w:r w:rsidR="00FA7BED" w:rsidRPr="003536AE">
        <w:t>da marca</w:t>
      </w:r>
      <w:r w:rsidR="00D46473" w:rsidRPr="003536AE">
        <w:t>, além d</w:t>
      </w:r>
      <w:r w:rsidRPr="003536AE">
        <w:t>e iniciativas para a utilização ampliada de energia renovável</w:t>
      </w:r>
      <w:r w:rsidR="00F130BE" w:rsidRPr="003536AE">
        <w:t>.</w:t>
      </w:r>
    </w:p>
    <w:p w14:paraId="69FD441E" w14:textId="77777777" w:rsidR="00F130BE" w:rsidRDefault="00F130BE" w:rsidP="00A97903">
      <w:pPr>
        <w:rPr>
          <w:b/>
          <w:bCs/>
          <w:u w:val="single"/>
        </w:rPr>
      </w:pPr>
    </w:p>
    <w:p w14:paraId="325F8235" w14:textId="37C39A5A" w:rsidR="00A97903" w:rsidRDefault="00A97903" w:rsidP="00F130BE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F130BE">
        <w:rPr>
          <w:b/>
          <w:bCs/>
          <w:u w:val="single"/>
        </w:rPr>
        <w:t>Iniciativas para a expansão da utilização de energia renovável, em busca da neutralidade de carbono</w:t>
      </w:r>
    </w:p>
    <w:p w14:paraId="660534E7" w14:textId="77777777" w:rsidR="00F130BE" w:rsidRPr="00F130BE" w:rsidRDefault="00F130BE" w:rsidP="00F130BE">
      <w:pPr>
        <w:pStyle w:val="PargrafodaLista"/>
        <w:ind w:left="360"/>
        <w:rPr>
          <w:b/>
          <w:bCs/>
          <w:u w:val="single"/>
        </w:rPr>
      </w:pPr>
    </w:p>
    <w:p w14:paraId="1513064B" w14:textId="7DB5EAFD" w:rsidR="00B700E4" w:rsidRPr="00033342" w:rsidRDefault="00B700E4" w:rsidP="00033342">
      <w:pPr>
        <w:pStyle w:val="PargrafodaLista"/>
        <w:numPr>
          <w:ilvl w:val="0"/>
          <w:numId w:val="1"/>
        </w:numPr>
        <w:spacing w:line="276" w:lineRule="auto"/>
        <w:rPr>
          <w:i/>
          <w:iCs/>
          <w:sz w:val="20"/>
          <w:szCs w:val="20"/>
        </w:rPr>
      </w:pPr>
      <w:r w:rsidRPr="00033342">
        <w:rPr>
          <w:i/>
          <w:iCs/>
          <w:sz w:val="20"/>
          <w:szCs w:val="20"/>
        </w:rPr>
        <w:t>Atingir um equilíbrio adequado</w:t>
      </w:r>
      <w:r w:rsidR="009636F8">
        <w:rPr>
          <w:i/>
          <w:iCs/>
          <w:sz w:val="20"/>
          <w:szCs w:val="20"/>
        </w:rPr>
        <w:t xml:space="preserve"> entre</w:t>
      </w:r>
      <w:r w:rsidRPr="00033342">
        <w:rPr>
          <w:i/>
          <w:iCs/>
          <w:sz w:val="20"/>
          <w:szCs w:val="20"/>
        </w:rPr>
        <w:t xml:space="preserve"> demanda </w:t>
      </w:r>
      <w:r w:rsidR="009636F8">
        <w:rPr>
          <w:i/>
          <w:iCs/>
          <w:sz w:val="20"/>
          <w:szCs w:val="20"/>
        </w:rPr>
        <w:t xml:space="preserve">e fornecimento </w:t>
      </w:r>
      <w:r w:rsidRPr="00033342">
        <w:rPr>
          <w:i/>
          <w:iCs/>
          <w:sz w:val="20"/>
          <w:szCs w:val="20"/>
        </w:rPr>
        <w:t xml:space="preserve">de eletricidade </w:t>
      </w:r>
      <w:r w:rsidR="009636F8">
        <w:rPr>
          <w:i/>
          <w:iCs/>
          <w:sz w:val="20"/>
          <w:szCs w:val="20"/>
        </w:rPr>
        <w:t xml:space="preserve">ao </w:t>
      </w:r>
      <w:r w:rsidRPr="00033342">
        <w:rPr>
          <w:i/>
          <w:iCs/>
          <w:sz w:val="20"/>
          <w:szCs w:val="20"/>
        </w:rPr>
        <w:t>instala</w:t>
      </w:r>
      <w:r w:rsidR="009636F8">
        <w:rPr>
          <w:i/>
          <w:iCs/>
          <w:sz w:val="20"/>
          <w:szCs w:val="20"/>
        </w:rPr>
        <w:t>r</w:t>
      </w:r>
      <w:r w:rsidRPr="00033342">
        <w:rPr>
          <w:i/>
          <w:iCs/>
          <w:sz w:val="20"/>
          <w:szCs w:val="20"/>
        </w:rPr>
        <w:t xml:space="preserve"> um</w:t>
      </w:r>
      <w:r w:rsidR="008A364F">
        <w:rPr>
          <w:i/>
          <w:iCs/>
          <w:sz w:val="20"/>
          <w:szCs w:val="20"/>
        </w:rPr>
        <w:t xml:space="preserve">a função </w:t>
      </w:r>
      <w:r w:rsidR="006E16D4">
        <w:rPr>
          <w:i/>
          <w:iCs/>
          <w:sz w:val="20"/>
          <w:szCs w:val="20"/>
        </w:rPr>
        <w:t>de armazenamento</w:t>
      </w:r>
      <w:r w:rsidR="008A364F">
        <w:rPr>
          <w:i/>
          <w:iCs/>
          <w:sz w:val="20"/>
          <w:szCs w:val="20"/>
        </w:rPr>
        <w:t xml:space="preserve"> </w:t>
      </w:r>
      <w:r w:rsidR="00496CB5" w:rsidRPr="00033342">
        <w:rPr>
          <w:i/>
          <w:iCs/>
          <w:sz w:val="20"/>
          <w:szCs w:val="20"/>
        </w:rPr>
        <w:t>por meio d</w:t>
      </w:r>
      <w:r w:rsidR="00004B26" w:rsidRPr="00033342">
        <w:rPr>
          <w:i/>
          <w:iCs/>
          <w:sz w:val="20"/>
          <w:szCs w:val="20"/>
        </w:rPr>
        <w:t xml:space="preserve">o </w:t>
      </w:r>
      <w:r w:rsidRPr="00033342">
        <w:rPr>
          <w:i/>
          <w:iCs/>
          <w:sz w:val="20"/>
          <w:szCs w:val="20"/>
        </w:rPr>
        <w:t>MPP e outros dispositivos</w:t>
      </w:r>
      <w:r w:rsidR="00004B26" w:rsidRPr="00033342">
        <w:rPr>
          <w:i/>
          <w:iCs/>
          <w:sz w:val="20"/>
          <w:szCs w:val="20"/>
        </w:rPr>
        <w:t>.</w:t>
      </w:r>
    </w:p>
    <w:p w14:paraId="15E53953" w14:textId="4FCB2C59" w:rsidR="00B700E4" w:rsidRPr="00033342" w:rsidRDefault="00B700E4" w:rsidP="00033342">
      <w:pPr>
        <w:pStyle w:val="PargrafodaLista"/>
        <w:numPr>
          <w:ilvl w:val="0"/>
          <w:numId w:val="1"/>
        </w:numPr>
        <w:spacing w:line="276" w:lineRule="auto"/>
        <w:rPr>
          <w:i/>
          <w:iCs/>
          <w:sz w:val="20"/>
          <w:szCs w:val="20"/>
        </w:rPr>
      </w:pPr>
      <w:r w:rsidRPr="00033342">
        <w:rPr>
          <w:i/>
          <w:iCs/>
          <w:sz w:val="20"/>
          <w:szCs w:val="20"/>
        </w:rPr>
        <w:t xml:space="preserve">Melhor usabilidade da energia renovável, </w:t>
      </w:r>
      <w:r w:rsidR="009636F8">
        <w:rPr>
          <w:i/>
          <w:iCs/>
          <w:sz w:val="20"/>
          <w:szCs w:val="20"/>
        </w:rPr>
        <w:t xml:space="preserve">ao </w:t>
      </w:r>
      <w:r w:rsidRPr="00033342">
        <w:rPr>
          <w:i/>
          <w:iCs/>
          <w:sz w:val="20"/>
          <w:szCs w:val="20"/>
        </w:rPr>
        <w:t>aborda</w:t>
      </w:r>
      <w:r w:rsidR="009636F8">
        <w:rPr>
          <w:i/>
          <w:iCs/>
          <w:sz w:val="20"/>
          <w:szCs w:val="20"/>
        </w:rPr>
        <w:t>r</w:t>
      </w:r>
      <w:r w:rsidRPr="00033342">
        <w:rPr>
          <w:i/>
          <w:iCs/>
          <w:sz w:val="20"/>
          <w:szCs w:val="20"/>
        </w:rPr>
        <w:t xml:space="preserve"> </w:t>
      </w:r>
      <w:r w:rsidR="009636F8">
        <w:rPr>
          <w:i/>
          <w:iCs/>
          <w:sz w:val="20"/>
          <w:szCs w:val="20"/>
        </w:rPr>
        <w:t>a questão central desse tipo de energia</w:t>
      </w:r>
      <w:r w:rsidRPr="00033342">
        <w:rPr>
          <w:i/>
          <w:iCs/>
          <w:sz w:val="20"/>
          <w:szCs w:val="20"/>
        </w:rPr>
        <w:t>,</w:t>
      </w:r>
      <w:r w:rsidR="00E14EFE" w:rsidRPr="00033342">
        <w:rPr>
          <w:i/>
          <w:iCs/>
          <w:sz w:val="20"/>
          <w:szCs w:val="20"/>
        </w:rPr>
        <w:t xml:space="preserve"> que </w:t>
      </w:r>
      <w:r w:rsidR="009636F8">
        <w:rPr>
          <w:i/>
          <w:iCs/>
          <w:sz w:val="20"/>
          <w:szCs w:val="20"/>
        </w:rPr>
        <w:t xml:space="preserve">é </w:t>
      </w:r>
      <w:r w:rsidRPr="00033342">
        <w:rPr>
          <w:i/>
          <w:iCs/>
          <w:sz w:val="20"/>
          <w:szCs w:val="20"/>
        </w:rPr>
        <w:t xml:space="preserve">sua sensibilidade às condições naturais, </w:t>
      </w:r>
      <w:r w:rsidRPr="005F3F05">
        <w:rPr>
          <w:i/>
          <w:iCs/>
          <w:sz w:val="20"/>
          <w:szCs w:val="20"/>
        </w:rPr>
        <w:t>reduzindo a carga na</w:t>
      </w:r>
      <w:r w:rsidRPr="00033342">
        <w:rPr>
          <w:i/>
          <w:iCs/>
          <w:sz w:val="20"/>
          <w:szCs w:val="20"/>
        </w:rPr>
        <w:t xml:space="preserve"> rede elétrica (com o uso da função </w:t>
      </w:r>
      <w:r w:rsidR="00AC5D76">
        <w:rPr>
          <w:i/>
          <w:iCs/>
          <w:sz w:val="20"/>
          <w:szCs w:val="20"/>
        </w:rPr>
        <w:t>armazenamento</w:t>
      </w:r>
      <w:r w:rsidR="00BA7C72" w:rsidRPr="00033342">
        <w:rPr>
          <w:i/>
          <w:iCs/>
          <w:sz w:val="20"/>
          <w:szCs w:val="20"/>
        </w:rPr>
        <w:t>)</w:t>
      </w:r>
      <w:r w:rsidR="00CB0480" w:rsidRPr="00033342">
        <w:rPr>
          <w:i/>
          <w:iCs/>
          <w:sz w:val="20"/>
          <w:szCs w:val="20"/>
        </w:rPr>
        <w:t>.</w:t>
      </w:r>
    </w:p>
    <w:p w14:paraId="791B6555" w14:textId="10D80F96" w:rsidR="003637BD" w:rsidRDefault="00B700E4" w:rsidP="00A96E68">
      <w:pPr>
        <w:pStyle w:val="PargrafodaLista"/>
        <w:numPr>
          <w:ilvl w:val="0"/>
          <w:numId w:val="1"/>
        </w:numPr>
      </w:pPr>
      <w:r w:rsidRPr="00033342">
        <w:rPr>
          <w:i/>
          <w:iCs/>
          <w:sz w:val="20"/>
          <w:szCs w:val="20"/>
        </w:rPr>
        <w:t>Considera</w:t>
      </w:r>
      <w:r w:rsidR="002558CE">
        <w:rPr>
          <w:i/>
          <w:iCs/>
          <w:sz w:val="20"/>
          <w:szCs w:val="20"/>
        </w:rPr>
        <w:t>r</w:t>
      </w:r>
      <w:r w:rsidRPr="00033342">
        <w:rPr>
          <w:i/>
          <w:iCs/>
          <w:sz w:val="20"/>
          <w:szCs w:val="20"/>
        </w:rPr>
        <w:t xml:space="preserve"> a possibilidade de fornecer eletricidade armazenada no MPP para a rede elétrica em caso de falta de energia.</w:t>
      </w:r>
    </w:p>
    <w:p w14:paraId="23141851" w14:textId="7A70C6EC" w:rsidR="00B700E4" w:rsidRDefault="00B700E4" w:rsidP="00027791">
      <w:pPr>
        <w:jc w:val="both"/>
      </w:pPr>
      <w:r>
        <w:t xml:space="preserve">A Honda está se esforçando para atingir a neutralidade de carbono </w:t>
      </w:r>
      <w:r w:rsidR="003637BD">
        <w:t xml:space="preserve">em seus </w:t>
      </w:r>
      <w:r>
        <w:t xml:space="preserve">produtos e </w:t>
      </w:r>
      <w:r w:rsidR="00317974">
        <w:t xml:space="preserve">nas </w:t>
      </w:r>
      <w:r>
        <w:t xml:space="preserve">atividades corporativas </w:t>
      </w:r>
      <w:r w:rsidR="003637BD">
        <w:t xml:space="preserve">em que a empresa está </w:t>
      </w:r>
      <w:r>
        <w:t>envolvida</w:t>
      </w:r>
      <w:r w:rsidR="00317974">
        <w:t xml:space="preserve">, </w:t>
      </w:r>
      <w:r>
        <w:t>até 2050.</w:t>
      </w:r>
      <w:r w:rsidR="003637BD">
        <w:t xml:space="preserve"> </w:t>
      </w:r>
      <w:r w:rsidR="00241B41">
        <w:t xml:space="preserve">Entre </w:t>
      </w:r>
      <w:r w:rsidR="0028020A">
        <w:t>as</w:t>
      </w:r>
      <w:r>
        <w:t xml:space="preserve"> iniciativas para </w:t>
      </w:r>
      <w:r w:rsidR="00241B41">
        <w:t xml:space="preserve">concretizar </w:t>
      </w:r>
      <w:r>
        <w:t xml:space="preserve">esse objetivo, a </w:t>
      </w:r>
      <w:r w:rsidR="004F5AB7">
        <w:t xml:space="preserve">empresa </w:t>
      </w:r>
      <w:r>
        <w:t xml:space="preserve">desenvolveu o conceito de “Honda </w:t>
      </w:r>
      <w:proofErr w:type="spellStart"/>
      <w:r>
        <w:t>eMaaS</w:t>
      </w:r>
      <w:proofErr w:type="spellEnd"/>
      <w:r>
        <w:t>”</w:t>
      </w:r>
      <w:r w:rsidR="009E2ADF">
        <w:t xml:space="preserve"> (</w:t>
      </w:r>
      <w:r w:rsidR="009E2ADF" w:rsidRPr="00E60BD1">
        <w:rPr>
          <w:i/>
          <w:iCs/>
        </w:rPr>
        <w:t xml:space="preserve">Eletric </w:t>
      </w:r>
      <w:proofErr w:type="spellStart"/>
      <w:r w:rsidR="009E2ADF" w:rsidRPr="00E60BD1">
        <w:rPr>
          <w:i/>
          <w:iCs/>
        </w:rPr>
        <w:t>Mobility</w:t>
      </w:r>
      <w:proofErr w:type="spellEnd"/>
      <w:r w:rsidR="009E2ADF" w:rsidRPr="00E60BD1">
        <w:rPr>
          <w:i/>
          <w:iCs/>
        </w:rPr>
        <w:t xml:space="preserve"> as a Service</w:t>
      </w:r>
      <w:r w:rsidR="009E2ADF">
        <w:t>, em português, mobilidade elétrica como um serviço)</w:t>
      </w:r>
      <w:r w:rsidR="004F5AB7">
        <w:t xml:space="preserve">, no qual irá contribuir para a </w:t>
      </w:r>
      <w:r>
        <w:t>“</w:t>
      </w:r>
      <w:r w:rsidR="00555A9D">
        <w:t>l</w:t>
      </w:r>
      <w:r>
        <w:t xml:space="preserve">iberdade </w:t>
      </w:r>
      <w:r w:rsidR="004F5AB7">
        <w:t xml:space="preserve">da </w:t>
      </w:r>
      <w:r>
        <w:t>mobilidade” e “</w:t>
      </w:r>
      <w:r w:rsidR="00027791">
        <w:t xml:space="preserve">expansão no </w:t>
      </w:r>
      <w:r>
        <w:t>uso de</w:t>
      </w:r>
      <w:r w:rsidR="00027791">
        <w:t xml:space="preserve"> </w:t>
      </w:r>
      <w:r>
        <w:t xml:space="preserve">energia renovável” conectando produtos </w:t>
      </w:r>
      <w:r w:rsidR="0028020A">
        <w:t xml:space="preserve">elétricos </w:t>
      </w:r>
      <w:r>
        <w:t>de mobilidade e serviço de energia.</w:t>
      </w:r>
    </w:p>
    <w:p w14:paraId="54F59532" w14:textId="2AE65696" w:rsidR="00B700E4" w:rsidRDefault="00B700E4" w:rsidP="00FE37E0">
      <w:pPr>
        <w:jc w:val="both"/>
      </w:pPr>
      <w:r w:rsidRPr="009D006C">
        <w:t xml:space="preserve">Com base neste conceito, a Honda expandirá o uso de energia renovável, ampliando a gama de produtos eletrificados </w:t>
      </w:r>
      <w:r w:rsidR="00FE37E0" w:rsidRPr="009D006C">
        <w:t>-</w:t>
      </w:r>
      <w:r w:rsidRPr="009D006C">
        <w:t xml:space="preserve"> motocicletas e automóveis </w:t>
      </w:r>
      <w:r w:rsidR="00FE37E0" w:rsidRPr="009D006C">
        <w:t>– além d</w:t>
      </w:r>
      <w:r w:rsidRPr="009D006C">
        <w:t>a maior utilização do MPP</w:t>
      </w:r>
      <w:r w:rsidR="0028020A">
        <w:t xml:space="preserve"> e</w:t>
      </w:r>
      <w:r w:rsidR="00A002E6" w:rsidRPr="009D006C">
        <w:t xml:space="preserve">, </w:t>
      </w:r>
      <w:r w:rsidRPr="009D006C">
        <w:t>também</w:t>
      </w:r>
      <w:r w:rsidR="0028020A">
        <w:t>,</w:t>
      </w:r>
      <w:r w:rsidRPr="009D006C">
        <w:t xml:space="preserve"> permitindo operações de energia inteligente conectadas à infraestrutura</w:t>
      </w:r>
      <w:r w:rsidR="00FE2EEF" w:rsidRPr="009D006C">
        <w:t>.</w:t>
      </w:r>
    </w:p>
    <w:p w14:paraId="179FD621" w14:textId="3BB4C4E7" w:rsidR="00B428A7" w:rsidRDefault="00EE39A1" w:rsidP="001A782D">
      <w:pPr>
        <w:jc w:val="both"/>
      </w:pPr>
      <w:r>
        <w:t>Um d</w:t>
      </w:r>
      <w:r w:rsidR="00A65F5D">
        <w:t xml:space="preserve">os desafios </w:t>
      </w:r>
      <w:r>
        <w:t>no uso de renováve</w:t>
      </w:r>
      <w:r w:rsidR="00A65F5D">
        <w:t xml:space="preserve">is </w:t>
      </w:r>
      <w:r>
        <w:t>como fonte de energia é que a quantidade de eletricidade gerada não pode ser adaptada à demanda real</w:t>
      </w:r>
      <w:r w:rsidR="0028020A">
        <w:t>,</w:t>
      </w:r>
      <w:r>
        <w:t xml:space="preserve"> porque </w:t>
      </w:r>
      <w:r w:rsidR="0028020A">
        <w:t xml:space="preserve">o volume </w:t>
      </w:r>
      <w:r w:rsidR="0012422D">
        <w:t xml:space="preserve">pode variar </w:t>
      </w:r>
      <w:r>
        <w:t>dependendo das condições naturais, como clima</w:t>
      </w:r>
      <w:r w:rsidR="000604DC">
        <w:t xml:space="preserve"> e </w:t>
      </w:r>
      <w:r w:rsidR="0028020A">
        <w:t xml:space="preserve">momento </w:t>
      </w:r>
      <w:r>
        <w:t>do dia.</w:t>
      </w:r>
      <w:r w:rsidR="00B428A7">
        <w:t xml:space="preserve"> Quando a quantidade de geração de energia é </w:t>
      </w:r>
      <w:r w:rsidR="000604DC">
        <w:t xml:space="preserve">menor </w:t>
      </w:r>
      <w:r w:rsidR="00B428A7">
        <w:t xml:space="preserve">em comparação </w:t>
      </w:r>
      <w:r w:rsidR="000604DC">
        <w:t xml:space="preserve">à </w:t>
      </w:r>
      <w:r w:rsidR="00B428A7">
        <w:t xml:space="preserve">demanda, </w:t>
      </w:r>
      <w:r w:rsidR="000117F3">
        <w:t xml:space="preserve">há o risco de </w:t>
      </w:r>
      <w:r w:rsidR="00B428A7">
        <w:t xml:space="preserve">quedas de energia. </w:t>
      </w:r>
      <w:r w:rsidR="000117F3">
        <w:t>Na situação contrária</w:t>
      </w:r>
      <w:r w:rsidR="00B428A7">
        <w:t xml:space="preserve">, </w:t>
      </w:r>
      <w:r w:rsidR="000117F3">
        <w:t xml:space="preserve">em que a </w:t>
      </w:r>
      <w:r w:rsidR="00B428A7">
        <w:t xml:space="preserve">geração de energia é muito grande, </w:t>
      </w:r>
      <w:r w:rsidR="000117F3">
        <w:t xml:space="preserve">há o risco de </w:t>
      </w:r>
      <w:r w:rsidR="00B428A7">
        <w:t>interrupções de energia para evitar o excesso na rede, o que pode resultar em eliminação do excesso de eletricidade.</w:t>
      </w:r>
    </w:p>
    <w:p w14:paraId="765B512C" w14:textId="4141E4C5" w:rsidR="008A28ED" w:rsidRDefault="00B428A7" w:rsidP="001A3E34">
      <w:pPr>
        <w:jc w:val="both"/>
      </w:pPr>
      <w:r>
        <w:t xml:space="preserve">Para resolver essas questões e expandir o uso de energia renovável, é importante estabelecer um função de </w:t>
      </w:r>
      <w:r w:rsidR="00A70985">
        <w:t>armazenamento</w:t>
      </w:r>
      <w:r w:rsidR="00E9192F">
        <w:t xml:space="preserve">, </w:t>
      </w:r>
      <w:r>
        <w:t xml:space="preserve">que ajudará a alcançar um equilíbrio adequado </w:t>
      </w:r>
      <w:r w:rsidR="00F04DF2">
        <w:t xml:space="preserve">no </w:t>
      </w:r>
      <w:r>
        <w:t xml:space="preserve">fornecimento </w:t>
      </w:r>
      <w:r w:rsidR="00F04DF2">
        <w:t xml:space="preserve">e demanda </w:t>
      </w:r>
      <w:r>
        <w:t>de eletricidade</w:t>
      </w:r>
      <w:r w:rsidR="00F04DF2">
        <w:t xml:space="preserve">. </w:t>
      </w:r>
      <w:r w:rsidR="00A70985">
        <w:t xml:space="preserve">Essa </w:t>
      </w:r>
      <w:r>
        <w:t xml:space="preserve">função </w:t>
      </w:r>
      <w:r w:rsidR="00F04DF2">
        <w:t>representa a</w:t>
      </w:r>
      <w:r>
        <w:t xml:space="preserve"> capacidade de ajustar a quantidade </w:t>
      </w:r>
      <w:r w:rsidR="004B0243">
        <w:t xml:space="preserve">vinda da </w:t>
      </w:r>
      <w:r>
        <w:t xml:space="preserve">fonte de alimentação </w:t>
      </w:r>
      <w:r w:rsidR="001D671B">
        <w:t xml:space="preserve">por meio do </w:t>
      </w:r>
      <w:r>
        <w:t xml:space="preserve">armazenamento </w:t>
      </w:r>
      <w:r w:rsidR="001D671B">
        <w:t xml:space="preserve">temporário </w:t>
      </w:r>
      <w:r>
        <w:t>d</w:t>
      </w:r>
      <w:r w:rsidR="001D671B">
        <w:t xml:space="preserve">a </w:t>
      </w:r>
      <w:r>
        <w:t>eletricidade excedente usando</w:t>
      </w:r>
      <w:r w:rsidR="001D671B">
        <w:t xml:space="preserve"> o</w:t>
      </w:r>
      <w:r>
        <w:t xml:space="preserve"> MPP ou outros dispositivos.</w:t>
      </w:r>
    </w:p>
    <w:p w14:paraId="3E858F2A" w14:textId="0B9E8A62" w:rsidR="00BC762D" w:rsidRDefault="008A28ED" w:rsidP="001A3E34">
      <w:pPr>
        <w:jc w:val="both"/>
      </w:pPr>
      <w:r>
        <w:t xml:space="preserve">Com o uso expandido do MPP, será mais fácil usar a energia renovável, que é </w:t>
      </w:r>
      <w:r w:rsidR="00BA35C5">
        <w:t xml:space="preserve">uma fonte </w:t>
      </w:r>
      <w:r>
        <w:t>sensível a condições naturais. Por exemplo, quando uma quantidade excessiva de eletricidade é gerad</w:t>
      </w:r>
      <w:r w:rsidR="008104FF">
        <w:t xml:space="preserve">a </w:t>
      </w:r>
      <w:r>
        <w:t>durante o</w:t>
      </w:r>
      <w:r w:rsidR="008104FF">
        <w:t xml:space="preserve"> </w:t>
      </w:r>
      <w:r>
        <w:t>dia</w:t>
      </w:r>
      <w:r w:rsidR="008104FF">
        <w:t xml:space="preserve">, </w:t>
      </w:r>
      <w:r>
        <w:t xml:space="preserve">por meio da energia solar, o MPP servirá como um </w:t>
      </w:r>
      <w:r w:rsidR="008104FF">
        <w:t xml:space="preserve">armazenamento de </w:t>
      </w:r>
      <w:r>
        <w:t>tal excedente</w:t>
      </w:r>
      <w:r w:rsidR="008104FF">
        <w:t xml:space="preserve">. </w:t>
      </w:r>
    </w:p>
    <w:p w14:paraId="1D3FA26E" w14:textId="7BCAA3B3" w:rsidR="008A28ED" w:rsidRDefault="008A28ED" w:rsidP="001A3E34">
      <w:pPr>
        <w:jc w:val="both"/>
      </w:pPr>
      <w:r>
        <w:lastRenderedPageBreak/>
        <w:t xml:space="preserve">Em seguida, durante o final da tarde, quando o fornecimento de eletricidade </w:t>
      </w:r>
      <w:r w:rsidR="00F044D0">
        <w:t>fica</w:t>
      </w:r>
      <w:r w:rsidR="00BC762D">
        <w:t xml:space="preserve"> </w:t>
      </w:r>
      <w:r>
        <w:t xml:space="preserve">aquém da demanda, a eletricidade armazenada no MPP durante o dia pode ser usada para atingir </w:t>
      </w:r>
      <w:r w:rsidR="008824AB">
        <w:t xml:space="preserve">o </w:t>
      </w:r>
      <w:r>
        <w:t xml:space="preserve">pico de carga </w:t>
      </w:r>
      <w:r w:rsidR="009F796C">
        <w:t>(</w:t>
      </w:r>
      <w:r>
        <w:t xml:space="preserve">ou </w:t>
      </w:r>
      <w:r w:rsidR="008824AB">
        <w:t>“</w:t>
      </w:r>
      <w:r w:rsidR="00CF6963">
        <w:t xml:space="preserve">cortes de pico”, </w:t>
      </w:r>
      <w:r>
        <w:t>que reduz e suaviza picos de carga</w:t>
      </w:r>
      <w:r w:rsidR="001A3E34">
        <w:t xml:space="preserve">) </w:t>
      </w:r>
      <w:r>
        <w:t xml:space="preserve">para reduzir </w:t>
      </w:r>
      <w:r w:rsidR="001A3E34">
        <w:t xml:space="preserve">o </w:t>
      </w:r>
      <w:r>
        <w:t>carregamento da rede elétrica.</w:t>
      </w:r>
    </w:p>
    <w:p w14:paraId="48C34A26" w14:textId="57F1C275" w:rsidR="007223C3" w:rsidRDefault="007223C3" w:rsidP="007620BA">
      <w:pPr>
        <w:jc w:val="both"/>
      </w:pPr>
      <w:r>
        <w:t xml:space="preserve">Além disso, </w:t>
      </w:r>
      <w:r w:rsidR="00C05FEF">
        <w:t>no futuro</w:t>
      </w:r>
      <w:r>
        <w:t xml:space="preserve">, a Honda </w:t>
      </w:r>
      <w:r w:rsidR="00C05FEF">
        <w:t xml:space="preserve">considera </w:t>
      </w:r>
      <w:r>
        <w:t xml:space="preserve">a possibilidade de fornecer </w:t>
      </w:r>
      <w:r w:rsidR="00C05FEF">
        <w:t xml:space="preserve">a </w:t>
      </w:r>
      <w:r>
        <w:t>eletricidade armazenad</w:t>
      </w:r>
      <w:r w:rsidR="00C05FEF">
        <w:t xml:space="preserve">a </w:t>
      </w:r>
      <w:r>
        <w:t>no MPP para a rede elétrica</w:t>
      </w:r>
      <w:r w:rsidR="00C05FEF">
        <w:t xml:space="preserve">, </w:t>
      </w:r>
      <w:r>
        <w:t>em caso de falta de energia</w:t>
      </w:r>
      <w:r w:rsidR="00BF3204">
        <w:t xml:space="preserve">, </w:t>
      </w:r>
      <w:r>
        <w:t xml:space="preserve">conectando o Honda Mobile Power Pack </w:t>
      </w:r>
      <w:proofErr w:type="spellStart"/>
      <w:r>
        <w:t>Exchanger</w:t>
      </w:r>
      <w:proofErr w:type="spellEnd"/>
      <w:r>
        <w:t xml:space="preserve"> e: </w:t>
      </w:r>
      <w:r w:rsidR="00BF3204">
        <w:t>na rede elétrica</w:t>
      </w:r>
      <w:r>
        <w:t>.</w:t>
      </w:r>
      <w:r w:rsidR="00BF3204">
        <w:t xml:space="preserve"> O</w:t>
      </w:r>
      <w:r>
        <w:t xml:space="preserve"> Honda Mobile Power Pack </w:t>
      </w:r>
      <w:proofErr w:type="spellStart"/>
      <w:r>
        <w:t>Exchanger</w:t>
      </w:r>
      <w:proofErr w:type="spellEnd"/>
      <w:r>
        <w:t xml:space="preserve"> e: é um estação de troca de bateria, atualmente em desenvolvimento, que pode </w:t>
      </w:r>
      <w:r w:rsidR="007620BA">
        <w:t xml:space="preserve">carregar </w:t>
      </w:r>
      <w:r>
        <w:t xml:space="preserve">vários </w:t>
      </w:r>
      <w:proofErr w:type="spellStart"/>
      <w:r>
        <w:t>MPPs</w:t>
      </w:r>
      <w:proofErr w:type="spellEnd"/>
      <w:r>
        <w:t xml:space="preserve"> simultaneamente</w:t>
      </w:r>
      <w:r w:rsidR="007620BA">
        <w:t>.</w:t>
      </w:r>
    </w:p>
    <w:p w14:paraId="70BDDE83" w14:textId="3F0E49E4" w:rsidR="00E2055C" w:rsidRDefault="00E2055C" w:rsidP="007620BA">
      <w:pPr>
        <w:jc w:val="both"/>
      </w:pPr>
    </w:p>
    <w:p w14:paraId="223584E0" w14:textId="686340D7" w:rsidR="00E2055C" w:rsidRDefault="00D43306" w:rsidP="00D43306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D43306">
        <w:rPr>
          <w:b/>
          <w:bCs/>
          <w:u w:val="single"/>
        </w:rPr>
        <w:t xml:space="preserve">Expansão do uso de </w:t>
      </w:r>
      <w:r w:rsidR="002B238B" w:rsidRPr="00D43306">
        <w:rPr>
          <w:b/>
          <w:bCs/>
          <w:u w:val="single"/>
        </w:rPr>
        <w:t xml:space="preserve">MPP </w:t>
      </w:r>
      <w:r w:rsidRPr="00D43306">
        <w:rPr>
          <w:b/>
          <w:bCs/>
          <w:u w:val="single"/>
        </w:rPr>
        <w:t>para o futuro</w:t>
      </w:r>
    </w:p>
    <w:p w14:paraId="42BB6AE5" w14:textId="77777777" w:rsidR="00BD0DFD" w:rsidRPr="00D43306" w:rsidRDefault="00BD0DFD" w:rsidP="00BD0DFD">
      <w:pPr>
        <w:pStyle w:val="PargrafodaLista"/>
        <w:ind w:left="360"/>
        <w:rPr>
          <w:b/>
          <w:bCs/>
          <w:u w:val="single"/>
        </w:rPr>
      </w:pPr>
    </w:p>
    <w:p w14:paraId="7E99B2E1" w14:textId="5E677CCE" w:rsidR="00771825" w:rsidRPr="00814577" w:rsidRDefault="00771825" w:rsidP="001A782D">
      <w:pPr>
        <w:pStyle w:val="PargrafodaLista"/>
        <w:numPr>
          <w:ilvl w:val="0"/>
          <w:numId w:val="1"/>
        </w:numPr>
        <w:spacing w:line="276" w:lineRule="auto"/>
        <w:rPr>
          <w:i/>
          <w:iCs/>
          <w:sz w:val="20"/>
          <w:szCs w:val="20"/>
        </w:rPr>
      </w:pPr>
      <w:r w:rsidRPr="00814577">
        <w:rPr>
          <w:i/>
          <w:iCs/>
          <w:sz w:val="20"/>
          <w:szCs w:val="20"/>
        </w:rPr>
        <w:t xml:space="preserve">Considerando </w:t>
      </w:r>
      <w:r w:rsidR="00814577" w:rsidRPr="00814577">
        <w:rPr>
          <w:i/>
          <w:iCs/>
          <w:sz w:val="20"/>
          <w:szCs w:val="20"/>
        </w:rPr>
        <w:t xml:space="preserve">que o reaproveitamento do </w:t>
      </w:r>
      <w:r w:rsidRPr="00814577">
        <w:rPr>
          <w:i/>
          <w:iCs/>
          <w:sz w:val="20"/>
          <w:szCs w:val="20"/>
        </w:rPr>
        <w:t>MPP se torna inadequado para o uso de produtos de mobilidade devido à degradação</w:t>
      </w:r>
      <w:r w:rsidR="00BD0DFD" w:rsidRPr="00814577">
        <w:rPr>
          <w:i/>
          <w:iCs/>
          <w:sz w:val="20"/>
          <w:szCs w:val="20"/>
        </w:rPr>
        <w:t>.</w:t>
      </w:r>
    </w:p>
    <w:p w14:paraId="00B24808" w14:textId="20F29B46" w:rsidR="001E3BD8" w:rsidRPr="001A782D" w:rsidRDefault="001E3BD8" w:rsidP="001A782D">
      <w:pPr>
        <w:pStyle w:val="PargrafodaLista"/>
        <w:numPr>
          <w:ilvl w:val="0"/>
          <w:numId w:val="1"/>
        </w:numPr>
        <w:spacing w:line="276" w:lineRule="auto"/>
        <w:rPr>
          <w:i/>
          <w:iCs/>
          <w:sz w:val="20"/>
          <w:szCs w:val="20"/>
        </w:rPr>
      </w:pPr>
      <w:r w:rsidRPr="001A782D">
        <w:rPr>
          <w:i/>
          <w:iCs/>
          <w:sz w:val="20"/>
          <w:szCs w:val="20"/>
        </w:rPr>
        <w:t xml:space="preserve">Expandir o uso do MPP para além das fronteiras das indústrias, ao mesmo tempo que </w:t>
      </w:r>
      <w:r w:rsidR="00052CB6">
        <w:rPr>
          <w:i/>
          <w:iCs/>
          <w:sz w:val="20"/>
          <w:szCs w:val="20"/>
        </w:rPr>
        <w:t>avança</w:t>
      </w:r>
      <w:r w:rsidR="00052CB6" w:rsidRPr="001A782D">
        <w:rPr>
          <w:i/>
          <w:iCs/>
          <w:sz w:val="20"/>
          <w:szCs w:val="20"/>
        </w:rPr>
        <w:t xml:space="preserve"> </w:t>
      </w:r>
      <w:r w:rsidRPr="001A782D">
        <w:rPr>
          <w:i/>
          <w:iCs/>
          <w:sz w:val="20"/>
          <w:szCs w:val="20"/>
        </w:rPr>
        <w:t>em direção à padronização</w:t>
      </w:r>
      <w:r w:rsidR="00814577">
        <w:rPr>
          <w:i/>
          <w:iCs/>
          <w:sz w:val="20"/>
          <w:szCs w:val="20"/>
        </w:rPr>
        <w:t>.</w:t>
      </w:r>
    </w:p>
    <w:p w14:paraId="73045017" w14:textId="0866A241" w:rsidR="0016156B" w:rsidRDefault="00052CB6" w:rsidP="0016156B">
      <w:pPr>
        <w:jc w:val="both"/>
      </w:pPr>
      <w:r>
        <w:t xml:space="preserve">Avançando </w:t>
      </w:r>
      <w:r w:rsidR="00B63DFA">
        <w:t xml:space="preserve">em direção à </w:t>
      </w:r>
      <w:r w:rsidR="0016156B">
        <w:t xml:space="preserve">concretização da neutralidade do carbono, a Honda está se esforçando para expandir o </w:t>
      </w:r>
      <w:r>
        <w:t xml:space="preserve">escopo de </w:t>
      </w:r>
      <w:r w:rsidR="0016156B">
        <w:t>uso de MPP para um amplo leque de produtos. Ao mesmo tempo, a Honda está trabalhando em planos para reaproveitamento</w:t>
      </w:r>
      <w:r w:rsidR="00BB2CBF">
        <w:t xml:space="preserve"> </w:t>
      </w:r>
      <w:r w:rsidR="0016156B">
        <w:t>do MPP</w:t>
      </w:r>
      <w:r w:rsidR="00BB2CBF">
        <w:t xml:space="preserve">, </w:t>
      </w:r>
      <w:r w:rsidR="0016156B">
        <w:t>quando</w:t>
      </w:r>
      <w:r w:rsidR="00BB2CBF">
        <w:t xml:space="preserve"> </w:t>
      </w:r>
      <w:r w:rsidR="0016156B">
        <w:t xml:space="preserve">ele se torna inadequado para o uso </w:t>
      </w:r>
      <w:r w:rsidR="00A5560E">
        <w:t xml:space="preserve">em produtos de </w:t>
      </w:r>
      <w:r w:rsidR="0016156B">
        <w:t>mobilidade devido a uma capacidade reduzida da bateria como resultado da degradação, incluindo o uso como um bateria de armazenamento para uso doméstico e como fonte de energia para outros produtos.</w:t>
      </w:r>
    </w:p>
    <w:p w14:paraId="7D95D7E9" w14:textId="2057F1C1" w:rsidR="008B7E50" w:rsidRDefault="008B7E50" w:rsidP="008B7E50">
      <w:pPr>
        <w:jc w:val="both"/>
      </w:pPr>
      <w:r>
        <w:t>Além disso, várias empresas estão atualmente considerando o desenvolvimento de produtos que usar</w:t>
      </w:r>
      <w:r w:rsidR="00A5560E">
        <w:t xml:space="preserve">ão </w:t>
      </w:r>
      <w:r>
        <w:t xml:space="preserve">o MPP como fonte de alimentação. Para acelerar esse desenvolvimento e expandir o </w:t>
      </w:r>
      <w:r w:rsidR="001C53F1">
        <w:t xml:space="preserve">uso </w:t>
      </w:r>
      <w:r>
        <w:t>do MPP,</w:t>
      </w:r>
      <w:r w:rsidR="001C53F1">
        <w:t xml:space="preserve"> a</w:t>
      </w:r>
      <w:r>
        <w:t xml:space="preserve"> Honda </w:t>
      </w:r>
      <w:r w:rsidR="001C53F1">
        <w:t xml:space="preserve">tem </w:t>
      </w:r>
      <w:r w:rsidRPr="001D4E71">
        <w:t>trabalhado para o estabelecimento de padrões</w:t>
      </w:r>
      <w:r w:rsidR="00DE66E1">
        <w:t xml:space="preserve">, </w:t>
      </w:r>
      <w:r w:rsidR="001D4E71" w:rsidRPr="001D4E71">
        <w:t>dentro da</w:t>
      </w:r>
      <w:r w:rsidRPr="001D4E71">
        <w:t xml:space="preserve"> indústria</w:t>
      </w:r>
      <w:r w:rsidR="00DE66E1">
        <w:t xml:space="preserve">, </w:t>
      </w:r>
      <w:r w:rsidRPr="001D4E71">
        <w:t>para baterias portáteis e</w:t>
      </w:r>
      <w:r w:rsidR="00840540">
        <w:t xml:space="preserve"> intercambiáveis</w:t>
      </w:r>
      <w:r w:rsidR="00F21F8C" w:rsidRPr="001D4E71">
        <w:t>.</w:t>
      </w:r>
    </w:p>
    <w:p w14:paraId="283C3F5C" w14:textId="77777777" w:rsidR="00027E08" w:rsidRDefault="00027E08" w:rsidP="008B7E50">
      <w:pPr>
        <w:jc w:val="both"/>
      </w:pPr>
    </w:p>
    <w:p w14:paraId="5E911D57" w14:textId="619656E1" w:rsidR="00F21F8C" w:rsidRPr="00027E08" w:rsidRDefault="00F21F8C" w:rsidP="00027E08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027E08">
        <w:rPr>
          <w:b/>
          <w:bCs/>
          <w:u w:val="single"/>
        </w:rPr>
        <w:t>Antecedentes para o desenvolvimento do MPP</w:t>
      </w:r>
    </w:p>
    <w:p w14:paraId="5F8FCF93" w14:textId="49B2FE16" w:rsidR="00F21F8C" w:rsidRDefault="006D4523" w:rsidP="00505093">
      <w:pPr>
        <w:jc w:val="both"/>
      </w:pPr>
      <w:r>
        <w:t xml:space="preserve">Como uma empresa que fornece aos clientes </w:t>
      </w:r>
      <w:r w:rsidR="007530C6">
        <w:t xml:space="preserve">de </w:t>
      </w:r>
      <w:r>
        <w:t xml:space="preserve">todo o mundo uma ampla gama de produtos </w:t>
      </w:r>
      <w:r w:rsidR="00E83637">
        <w:t xml:space="preserve">nas </w:t>
      </w:r>
      <w:r>
        <w:t xml:space="preserve">áreas de motocicletas, automóveis e produtos de </w:t>
      </w:r>
      <w:r w:rsidR="00E83637">
        <w:t>força</w:t>
      </w:r>
      <w:r>
        <w:t xml:space="preserve">, a Honda </w:t>
      </w:r>
      <w:r w:rsidR="00E83637">
        <w:t xml:space="preserve">enxerga sua </w:t>
      </w:r>
      <w:r>
        <w:t xml:space="preserve">importante responsabilidade </w:t>
      </w:r>
      <w:r w:rsidR="00E83637">
        <w:t xml:space="preserve">em </w:t>
      </w:r>
      <w:r>
        <w:t xml:space="preserve">expandir o uso </w:t>
      </w:r>
      <w:r w:rsidR="00082D5D">
        <w:t xml:space="preserve">de energia limpa </w:t>
      </w:r>
      <w:r>
        <w:t xml:space="preserve">para a mobilidade e a vida cotidiana das pessoas. </w:t>
      </w:r>
      <w:r w:rsidR="00505093">
        <w:t xml:space="preserve">Um dos conceitos </w:t>
      </w:r>
      <w:r w:rsidR="00BE1447">
        <w:t>originados</w:t>
      </w:r>
      <w:r w:rsidR="00505093">
        <w:t xml:space="preserve"> de tal reconhecimento foi o </w:t>
      </w:r>
      <w:r w:rsidR="00791BE4">
        <w:t xml:space="preserve">desafio do </w:t>
      </w:r>
      <w:r w:rsidR="00505093">
        <w:t xml:space="preserve">uso compartilhado de </w:t>
      </w:r>
      <w:r w:rsidR="00BE1447">
        <w:t xml:space="preserve">sistemas </w:t>
      </w:r>
      <w:r w:rsidR="0078311C">
        <w:t xml:space="preserve">de baterias </w:t>
      </w:r>
      <w:r w:rsidR="00505093">
        <w:t xml:space="preserve">portáteis </w:t>
      </w:r>
      <w:r w:rsidR="0078311C">
        <w:t xml:space="preserve">e </w:t>
      </w:r>
      <w:r w:rsidR="00E566B5">
        <w:t>intercambiáveis</w:t>
      </w:r>
      <w:r w:rsidR="00505093">
        <w:t>.</w:t>
      </w:r>
    </w:p>
    <w:p w14:paraId="5C068AD6" w14:textId="30EE6D76" w:rsidR="00270B65" w:rsidRDefault="00873777" w:rsidP="00873777">
      <w:pPr>
        <w:jc w:val="both"/>
      </w:pPr>
      <w:r>
        <w:t xml:space="preserve">A Honda desenvolveu o MPP para permitir que as pessoas usem a eletricidade </w:t>
      </w:r>
      <w:r w:rsidR="008352E2">
        <w:t xml:space="preserve">vinda da </w:t>
      </w:r>
      <w:r>
        <w:t xml:space="preserve">energia renovável </w:t>
      </w:r>
      <w:r w:rsidR="00FC0D48">
        <w:t xml:space="preserve">de forma conveniente, </w:t>
      </w:r>
      <w:r>
        <w:t>em qualquer momento e em qualquer lugar</w:t>
      </w:r>
      <w:r w:rsidR="00791BE4">
        <w:t>,</w:t>
      </w:r>
      <w:r>
        <w:t xml:space="preserve"> para sua mobilidade e vida diária, armazenando um</w:t>
      </w:r>
      <w:r w:rsidR="00817516">
        <w:t>a</w:t>
      </w:r>
      <w:r>
        <w:t xml:space="preserve"> pequena parte dessa eletricidade em uma bateria portátil e </w:t>
      </w:r>
      <w:r w:rsidR="00E566B5">
        <w:t>intercambiável</w:t>
      </w:r>
      <w:r>
        <w:t xml:space="preserve">. Além disso, </w:t>
      </w:r>
      <w:r w:rsidR="001353E8">
        <w:t xml:space="preserve">o </w:t>
      </w:r>
      <w:r>
        <w:t>MPP permite que as pessoas armazenem e gerenciem eletricidade, conectem-se a outras pessoas e mutuamente acomod</w:t>
      </w:r>
      <w:r w:rsidR="00FD6611">
        <w:t>em</w:t>
      </w:r>
      <w:r>
        <w:t xml:space="preserve"> as necessidades de eletricidade em uma pequena unidade, como produtos de mobilidade e residências.</w:t>
      </w:r>
    </w:p>
    <w:p w14:paraId="20243EF4" w14:textId="43BCAC84" w:rsidR="00F3796C" w:rsidRDefault="00352EAC" w:rsidP="00F3796C">
      <w:pPr>
        <w:jc w:val="both"/>
      </w:pPr>
      <w:r w:rsidRPr="006511AA">
        <w:t xml:space="preserve">Com o objetivo de </w:t>
      </w:r>
      <w:r w:rsidR="0026013F" w:rsidRPr="006511AA">
        <w:t>concretizar</w:t>
      </w:r>
      <w:r w:rsidRPr="006511AA">
        <w:t xml:space="preserve"> </w:t>
      </w:r>
      <w:r w:rsidR="004634A4" w:rsidRPr="006511AA">
        <w:t xml:space="preserve">essa </w:t>
      </w:r>
      <w:r w:rsidRPr="006511AA">
        <w:t>sociedade resiliente (flexível), a Honda introduziu o MPP em 2017</w:t>
      </w:r>
      <w:r w:rsidR="00EC1CB0" w:rsidRPr="006511AA">
        <w:t>. Sua</w:t>
      </w:r>
      <w:r w:rsidR="000E4E80" w:rsidRPr="006511AA">
        <w:t xml:space="preserve"> </w:t>
      </w:r>
      <w:r w:rsidRPr="006511AA">
        <w:t xml:space="preserve">utilização </w:t>
      </w:r>
      <w:r w:rsidR="00EC1CB0" w:rsidRPr="006511AA">
        <w:t xml:space="preserve">teve início com a aplicação </w:t>
      </w:r>
      <w:r w:rsidRPr="006511AA">
        <w:t>a uma motocicleta elétrica Honda</w:t>
      </w:r>
      <w:r w:rsidR="00967C68" w:rsidRPr="006511AA">
        <w:t xml:space="preserve">, </w:t>
      </w:r>
      <w:r w:rsidRPr="006511AA">
        <w:t>mod</w:t>
      </w:r>
      <w:r w:rsidR="008D7B7C" w:rsidRPr="006511AA">
        <w:t xml:space="preserve">elo </w:t>
      </w:r>
      <w:r w:rsidRPr="006511AA">
        <w:t>que foi colocado à venda em 2018.</w:t>
      </w:r>
      <w:r w:rsidR="00967C68" w:rsidRPr="006511AA">
        <w:t xml:space="preserve"> </w:t>
      </w:r>
      <w:r w:rsidR="00F3796C" w:rsidRPr="006511AA">
        <w:t>O novo GYRO CANOPY e:</w:t>
      </w:r>
      <w:r w:rsidR="003E0D70" w:rsidRPr="006511AA">
        <w:t xml:space="preserve">, uma scooter </w:t>
      </w:r>
      <w:r w:rsidR="00F3796C" w:rsidRPr="006511AA">
        <w:t>elétric</w:t>
      </w:r>
      <w:r w:rsidR="003E0D70" w:rsidRPr="006511AA">
        <w:t xml:space="preserve">a </w:t>
      </w:r>
      <w:r w:rsidR="00F3796C" w:rsidRPr="006511AA">
        <w:t>de três rodas</w:t>
      </w:r>
      <w:r w:rsidR="003E0D70" w:rsidRPr="006511AA">
        <w:t>,</w:t>
      </w:r>
      <w:r w:rsidR="003E0D70">
        <w:t xml:space="preserve"> </w:t>
      </w:r>
      <w:r w:rsidR="00F3796C">
        <w:lastRenderedPageBreak/>
        <w:t xml:space="preserve">apresenta </w:t>
      </w:r>
      <w:r w:rsidR="00EC1CB0">
        <w:t xml:space="preserve">o </w:t>
      </w:r>
      <w:r w:rsidR="00F3796C">
        <w:t>Honda Mobile Power Pack e: (MPP e :)</w:t>
      </w:r>
      <w:r w:rsidR="003E0D70">
        <w:t xml:space="preserve">, </w:t>
      </w:r>
      <w:r w:rsidR="00F3796C">
        <w:t>os novos</w:t>
      </w:r>
      <w:r w:rsidR="00461E9B">
        <w:t xml:space="preserve"> sistemas de</w:t>
      </w:r>
      <w:r w:rsidR="00F3796C">
        <w:t xml:space="preserve"> MPP com capacidade de bateria aumentada</w:t>
      </w:r>
      <w:r w:rsidR="00B1797A">
        <w:t>.</w:t>
      </w:r>
    </w:p>
    <w:p w14:paraId="417A4D1A" w14:textId="0BECB969" w:rsidR="00707C8C" w:rsidRDefault="00707C8C" w:rsidP="00F3796C">
      <w:pPr>
        <w:jc w:val="both"/>
      </w:pPr>
    </w:p>
    <w:p w14:paraId="1391B841" w14:textId="7FD1D126" w:rsidR="00707C8C" w:rsidRPr="00482BF8" w:rsidRDefault="00707C8C" w:rsidP="00482BF8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482BF8">
        <w:rPr>
          <w:b/>
          <w:bCs/>
          <w:u w:val="single"/>
        </w:rPr>
        <w:t xml:space="preserve">Iniciativas </w:t>
      </w:r>
      <w:r w:rsidR="001C068F" w:rsidRPr="00482BF8">
        <w:rPr>
          <w:b/>
          <w:bCs/>
          <w:u w:val="single"/>
        </w:rPr>
        <w:t xml:space="preserve">atuais </w:t>
      </w:r>
      <w:r w:rsidRPr="00482BF8">
        <w:rPr>
          <w:b/>
          <w:bCs/>
          <w:u w:val="single"/>
        </w:rPr>
        <w:t xml:space="preserve">da Honda para </w:t>
      </w:r>
      <w:r w:rsidR="001C068F" w:rsidRPr="00482BF8">
        <w:rPr>
          <w:b/>
          <w:bCs/>
          <w:u w:val="single"/>
        </w:rPr>
        <w:t xml:space="preserve">a </w:t>
      </w:r>
      <w:r w:rsidRPr="00482BF8">
        <w:rPr>
          <w:b/>
          <w:bCs/>
          <w:u w:val="single"/>
        </w:rPr>
        <w:t>expansão da utilização do MPP</w:t>
      </w:r>
    </w:p>
    <w:p w14:paraId="2F519CC3" w14:textId="44D2AD28" w:rsidR="001C068F" w:rsidRDefault="001C068F" w:rsidP="001C068F">
      <w:pPr>
        <w:jc w:val="both"/>
      </w:pPr>
      <w:r>
        <w:t xml:space="preserve">Desde fevereiro de 2019, a Honda vem realizando testes de demonstração nas Filipinas para a utilização de eletricidade excedente usando MPP e motocicletas elétricas </w:t>
      </w:r>
      <w:r w:rsidR="007B04EA">
        <w:t xml:space="preserve">com o propósito </w:t>
      </w:r>
      <w:r>
        <w:t xml:space="preserve">de avaliar a geração e o consumo local de eletricidade a partir de </w:t>
      </w:r>
      <w:r w:rsidR="001D56B6">
        <w:t xml:space="preserve">fontes </w:t>
      </w:r>
      <w:r>
        <w:t>renováve</w:t>
      </w:r>
      <w:r w:rsidR="001D56B6">
        <w:t>is de energia</w:t>
      </w:r>
      <w:r w:rsidR="002E1306">
        <w:t>.</w:t>
      </w:r>
    </w:p>
    <w:p w14:paraId="0A3AE505" w14:textId="743805E1" w:rsidR="002E1306" w:rsidRDefault="002E1306" w:rsidP="002E1306">
      <w:pPr>
        <w:jc w:val="both"/>
      </w:pPr>
      <w:r>
        <w:t xml:space="preserve">Além disso, desde julho de 2019, a Honda tem conduzido testes de demonstração na Indonésia </w:t>
      </w:r>
      <w:r w:rsidR="00D07F8D">
        <w:t>para o</w:t>
      </w:r>
      <w:r>
        <w:t xml:space="preserve"> compartilhamento de bateria usando MPP e motocicletas elétricas para fins de aceleração </w:t>
      </w:r>
      <w:r w:rsidR="000420D7">
        <w:t xml:space="preserve">na </w:t>
      </w:r>
      <w:r>
        <w:t xml:space="preserve">eletrificação de produtos </w:t>
      </w:r>
      <w:r w:rsidR="000420D7">
        <w:t xml:space="preserve">de mobilidade e </w:t>
      </w:r>
      <w:r>
        <w:t>uso de energia renovável.</w:t>
      </w:r>
    </w:p>
    <w:p w14:paraId="16D6CE85" w14:textId="4E352887" w:rsidR="00482BF8" w:rsidRDefault="000420D7" w:rsidP="00482BF8">
      <w:pPr>
        <w:jc w:val="both"/>
      </w:pPr>
      <w:r>
        <w:t xml:space="preserve">Desde </w:t>
      </w:r>
      <w:r w:rsidR="00482BF8">
        <w:t xml:space="preserve">fevereiro de 2021, a Honda tem conduzido testes de demonstração de compartilhamento de bateria para </w:t>
      </w:r>
      <w:r w:rsidR="00641C33">
        <w:t xml:space="preserve">um </w:t>
      </w:r>
      <w:r w:rsidR="00482BF8">
        <w:t>táxi triciclo elétrico na Índia.</w:t>
      </w:r>
      <w:r w:rsidR="0048168B">
        <w:t xml:space="preserve"> </w:t>
      </w:r>
      <w:r w:rsidR="00482BF8">
        <w:t>À luz dos resultados dest</w:t>
      </w:r>
      <w:r w:rsidR="0048168B">
        <w:t>e teste de</w:t>
      </w:r>
      <w:r w:rsidR="00482BF8">
        <w:t xml:space="preserve"> demonstração, </w:t>
      </w:r>
      <w:r w:rsidR="0048168B">
        <w:t xml:space="preserve">a </w:t>
      </w:r>
      <w:r w:rsidR="00482BF8">
        <w:t>Honda começará um</w:t>
      </w:r>
      <w:r w:rsidR="0048168B">
        <w:t xml:space="preserve"> serviço de</w:t>
      </w:r>
      <w:r w:rsidR="00482BF8">
        <w:t xml:space="preserve"> compartilhamento de bateria na Índia usando o MPP e: no primeiro semestre de 2022</w:t>
      </w:r>
      <w:r w:rsidR="00145093">
        <w:t>.</w:t>
      </w:r>
    </w:p>
    <w:p w14:paraId="0AB341BB" w14:textId="6BA13F4B" w:rsidR="00145093" w:rsidRDefault="00145093" w:rsidP="00482BF8">
      <w:pPr>
        <w:jc w:val="both"/>
      </w:pPr>
    </w:p>
    <w:p w14:paraId="240607E0" w14:textId="12C0984D" w:rsidR="00145093" w:rsidRPr="00E5282C" w:rsidRDefault="00145093" w:rsidP="00E5282C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E5282C">
        <w:rPr>
          <w:b/>
          <w:bCs/>
          <w:u w:val="single"/>
        </w:rPr>
        <w:t>Principais características do MPP</w:t>
      </w:r>
      <w:r w:rsidR="006F496B">
        <w:rPr>
          <w:b/>
          <w:bCs/>
          <w:u w:val="single"/>
        </w:rPr>
        <w:t xml:space="preserve"> e:</w:t>
      </w:r>
    </w:p>
    <w:p w14:paraId="1FE4DFB7" w14:textId="4C3033A0" w:rsidR="00E5282C" w:rsidRDefault="00E5282C" w:rsidP="00E5282C">
      <w:pPr>
        <w:jc w:val="both"/>
      </w:pPr>
      <w:r w:rsidRPr="00E5282C">
        <w:t>MPP e: é uma bateria de íon de lítio capaz de armazenar uma grande quantidade de</w:t>
      </w:r>
      <w:r>
        <w:t xml:space="preserve">  </w:t>
      </w:r>
      <w:r w:rsidRPr="00E5282C">
        <w:t>eletricidade, mais do que</w:t>
      </w:r>
      <w:r>
        <w:t xml:space="preserve"> </w:t>
      </w:r>
      <w:r w:rsidRPr="00E5282C">
        <w:t>1,3 kWh, que pode ser utilizado como fonte de energia para uma ampla variedade de dispositivos elétricos</w:t>
      </w:r>
      <w:r>
        <w:t xml:space="preserve"> </w:t>
      </w:r>
      <w:r w:rsidRPr="00E5282C">
        <w:t>incluindo produtos de mobilidade de pequeno porte</w:t>
      </w:r>
      <w:r w:rsidR="00B1234D">
        <w:t>.</w:t>
      </w:r>
    </w:p>
    <w:p w14:paraId="2240C976" w14:textId="1F5C189F" w:rsidR="00B1234D" w:rsidRDefault="00B1234D" w:rsidP="00B1234D">
      <w:pPr>
        <w:jc w:val="both"/>
      </w:pPr>
      <w:r w:rsidRPr="00B1234D">
        <w:rPr>
          <w:b/>
          <w:bCs/>
        </w:rPr>
        <w:t>Alta versatilidade</w:t>
      </w:r>
      <w:r>
        <w:t>: Além dos produtos de mobilidade,</w:t>
      </w:r>
      <w:r w:rsidR="00401B83">
        <w:t xml:space="preserve"> o</w:t>
      </w:r>
      <w:r>
        <w:t xml:space="preserve"> MPP e: pode ser utilizado como </w:t>
      </w:r>
      <w:r w:rsidR="00401B83">
        <w:t xml:space="preserve">fonte de </w:t>
      </w:r>
      <w:r>
        <w:t>energia para uma ampla gama de dispositivos compatíveis.</w:t>
      </w:r>
    </w:p>
    <w:p w14:paraId="124E8A3C" w14:textId="061FE552" w:rsidR="00B1234D" w:rsidRDefault="00B1234D" w:rsidP="00A95986">
      <w:pPr>
        <w:jc w:val="both"/>
      </w:pPr>
      <w:r w:rsidRPr="001A782D">
        <w:rPr>
          <w:b/>
          <w:bCs/>
        </w:rPr>
        <w:t>Alta durabilidade</w:t>
      </w:r>
      <w:r>
        <w:t xml:space="preserve">: </w:t>
      </w:r>
      <w:r w:rsidR="00A95986">
        <w:t xml:space="preserve">Ao determinar a difusão de calor durante a descarga contínua, </w:t>
      </w:r>
      <w:r w:rsidR="0062126F">
        <w:t xml:space="preserve">a </w:t>
      </w:r>
      <w:r w:rsidR="00A95986">
        <w:t>deterioração devido à alta temperatura é evitada</w:t>
      </w:r>
      <w:r w:rsidR="0062126F">
        <w:t xml:space="preserve">, além disso </w:t>
      </w:r>
      <w:r w:rsidR="00371CDF">
        <w:t xml:space="preserve">o produto tem </w:t>
      </w:r>
      <w:r w:rsidR="00A95986">
        <w:t>resistência à água, resistência à vibração e resistência ao choque</w:t>
      </w:r>
      <w:r w:rsidR="00371CDF">
        <w:t xml:space="preserve">, </w:t>
      </w:r>
      <w:r w:rsidR="00A95986">
        <w:t>garantidas sob o ambiente operacional normal esperado.</w:t>
      </w:r>
    </w:p>
    <w:p w14:paraId="4E98BC0D" w14:textId="723BAE76" w:rsidR="00F36BF8" w:rsidRDefault="00F36BF8" w:rsidP="00F36BF8">
      <w:pPr>
        <w:jc w:val="both"/>
      </w:pPr>
      <w:r w:rsidRPr="001A782D">
        <w:rPr>
          <w:b/>
          <w:bCs/>
        </w:rPr>
        <w:t>Utilização</w:t>
      </w:r>
      <w:r>
        <w:t xml:space="preserve">: O controle integrado reconhece as condições do MPP e: e registra a ocorrência de todos os eventos. Esses dados serão coletados através do </w:t>
      </w:r>
      <w:r w:rsidR="00237B5A">
        <w:t xml:space="preserve">carregador </w:t>
      </w:r>
      <w:r>
        <w:t xml:space="preserve">enquanto o MPP e: </w:t>
      </w:r>
      <w:r w:rsidR="00237B5A">
        <w:t xml:space="preserve">estiver </w:t>
      </w:r>
      <w:r>
        <w:t>carregando e, em seguida, utilizado para o funcionamento da bateria e outras utilizações secundárias.</w:t>
      </w:r>
    </w:p>
    <w:p w14:paraId="718613BB" w14:textId="5BCC986D" w:rsidR="005E1484" w:rsidRDefault="00007000" w:rsidP="00007000">
      <w:pPr>
        <w:spacing w:after="0"/>
        <w:jc w:val="both"/>
      </w:pPr>
      <w:r w:rsidRPr="00007000">
        <w:rPr>
          <w:noProof/>
        </w:rPr>
        <w:drawing>
          <wp:inline distT="0" distB="0" distL="0" distR="0" wp14:anchorId="675DB511" wp14:editId="0D612AD7">
            <wp:extent cx="2897583" cy="2171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3" cy="2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8362" w14:textId="14A62EA8" w:rsidR="00007000" w:rsidRDefault="00007000" w:rsidP="00007000">
      <w:pPr>
        <w:spacing w:after="0"/>
        <w:jc w:val="both"/>
      </w:pPr>
      <w:r>
        <w:rPr>
          <w:sz w:val="16"/>
          <w:szCs w:val="16"/>
        </w:rPr>
        <w:t>Honda Mobile Power Pack e:</w:t>
      </w:r>
    </w:p>
    <w:p w14:paraId="77DD65EA" w14:textId="3E559BB6" w:rsidR="00007000" w:rsidRDefault="00007000" w:rsidP="005E1484">
      <w:pPr>
        <w:jc w:val="both"/>
      </w:pPr>
    </w:p>
    <w:p w14:paraId="7543770C" w14:textId="40486E85" w:rsidR="00A314F9" w:rsidRDefault="00A314F9" w:rsidP="005E1484">
      <w:pPr>
        <w:jc w:val="both"/>
        <w:rPr>
          <w:b/>
          <w:bCs/>
        </w:rPr>
      </w:pPr>
      <w:r w:rsidRPr="00A314F9">
        <w:rPr>
          <w:b/>
          <w:bCs/>
        </w:rPr>
        <w:lastRenderedPageBreak/>
        <w:t>&lt; Especificações do Honda Mobile Power Pack e: &gt;</w:t>
      </w:r>
    </w:p>
    <w:p w14:paraId="35C4AE92" w14:textId="77777777" w:rsidR="005F4093" w:rsidRPr="00A314F9" w:rsidRDefault="005F4093" w:rsidP="005E1484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90342C" w14:paraId="760576AB" w14:textId="77777777" w:rsidTr="00F501AA">
        <w:trPr>
          <w:trHeight w:val="240"/>
        </w:trPr>
        <w:tc>
          <w:tcPr>
            <w:tcW w:w="2689" w:type="dxa"/>
          </w:tcPr>
          <w:p w14:paraId="3488E7B0" w14:textId="46056902" w:rsidR="0090342C" w:rsidRDefault="00F16D6F" w:rsidP="005E1484">
            <w:pPr>
              <w:jc w:val="both"/>
            </w:pPr>
            <w:r>
              <w:t>Dimensões</w:t>
            </w:r>
            <w:r w:rsidR="0090342C">
              <w:t xml:space="preserve"> externas </w:t>
            </w:r>
            <w:r>
              <w:t>(</w:t>
            </w:r>
            <w:r w:rsidRPr="001E6B38">
              <w:t>mm</w:t>
            </w:r>
            <w:r>
              <w:t>)</w:t>
            </w:r>
          </w:p>
        </w:tc>
        <w:tc>
          <w:tcPr>
            <w:tcW w:w="2693" w:type="dxa"/>
          </w:tcPr>
          <w:p w14:paraId="032D2588" w14:textId="23EFF4CE" w:rsidR="0090342C" w:rsidRDefault="00F16D6F" w:rsidP="00F501AA">
            <w:pPr>
              <w:pStyle w:val="Default"/>
              <w:jc w:val="both"/>
            </w:pPr>
            <w:r w:rsidRPr="00F501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Aprox. 298×177.3×156.3</w:t>
            </w:r>
          </w:p>
        </w:tc>
      </w:tr>
      <w:tr w:rsidR="0090342C" w14:paraId="4C164826" w14:textId="77777777" w:rsidTr="00F16D6F">
        <w:tc>
          <w:tcPr>
            <w:tcW w:w="2689" w:type="dxa"/>
          </w:tcPr>
          <w:p w14:paraId="4AA67B07" w14:textId="6A6D60A3" w:rsidR="0090342C" w:rsidRDefault="00F16D6F" w:rsidP="005E1484">
            <w:pPr>
              <w:jc w:val="both"/>
            </w:pPr>
            <w:r>
              <w:t>Tipo de bateria</w:t>
            </w:r>
          </w:p>
        </w:tc>
        <w:tc>
          <w:tcPr>
            <w:tcW w:w="2693" w:type="dxa"/>
          </w:tcPr>
          <w:p w14:paraId="6FCAA484" w14:textId="2116760F" w:rsidR="0090342C" w:rsidRDefault="00BB7D13" w:rsidP="00BB7D13">
            <w:pPr>
              <w:jc w:val="both"/>
            </w:pPr>
            <w:r>
              <w:t>Bateria Lítio iônica</w:t>
            </w:r>
          </w:p>
        </w:tc>
      </w:tr>
      <w:tr w:rsidR="0090342C" w14:paraId="2EFCA23E" w14:textId="77777777" w:rsidTr="00F16D6F">
        <w:tc>
          <w:tcPr>
            <w:tcW w:w="2689" w:type="dxa"/>
          </w:tcPr>
          <w:p w14:paraId="0DDABEBD" w14:textId="287345D7" w:rsidR="0090342C" w:rsidRDefault="00BB7D13" w:rsidP="005E1484">
            <w:pPr>
              <w:jc w:val="both"/>
            </w:pPr>
            <w:r w:rsidRPr="00BB7D13">
              <w:t>Tensão nominal</w:t>
            </w:r>
          </w:p>
        </w:tc>
        <w:tc>
          <w:tcPr>
            <w:tcW w:w="2693" w:type="dxa"/>
          </w:tcPr>
          <w:p w14:paraId="1BD3FF7A" w14:textId="0A333DDB" w:rsidR="0090342C" w:rsidRDefault="00200440" w:rsidP="00200440">
            <w:pPr>
              <w:jc w:val="both"/>
            </w:pPr>
            <w:r>
              <w:t>Aprox. 50.26V</w:t>
            </w:r>
          </w:p>
        </w:tc>
      </w:tr>
      <w:tr w:rsidR="0090342C" w14:paraId="27061EEA" w14:textId="77777777" w:rsidTr="00F16D6F">
        <w:tc>
          <w:tcPr>
            <w:tcW w:w="2689" w:type="dxa"/>
          </w:tcPr>
          <w:p w14:paraId="2CE903D5" w14:textId="044DB8D2" w:rsidR="0090342C" w:rsidRDefault="00200440" w:rsidP="005E1484">
            <w:pPr>
              <w:jc w:val="both"/>
            </w:pPr>
            <w:r>
              <w:t>Capacidade estimada</w:t>
            </w:r>
          </w:p>
        </w:tc>
        <w:tc>
          <w:tcPr>
            <w:tcW w:w="2693" w:type="dxa"/>
          </w:tcPr>
          <w:p w14:paraId="0244DE05" w14:textId="3876EA22" w:rsidR="0090342C" w:rsidRDefault="00200440" w:rsidP="005E1484">
            <w:pPr>
              <w:jc w:val="both"/>
            </w:pPr>
            <w:r w:rsidRPr="00200440">
              <w:t>26.1Ah/1314Wh</w:t>
            </w:r>
          </w:p>
        </w:tc>
      </w:tr>
      <w:tr w:rsidR="0090342C" w14:paraId="34AD4992" w14:textId="77777777" w:rsidTr="00F16D6F">
        <w:tc>
          <w:tcPr>
            <w:tcW w:w="2689" w:type="dxa"/>
          </w:tcPr>
          <w:p w14:paraId="30DCBA39" w14:textId="384D43BB" w:rsidR="0090342C" w:rsidRDefault="00200440" w:rsidP="005E1484">
            <w:pPr>
              <w:jc w:val="both"/>
            </w:pPr>
            <w:r>
              <w:t>Peso</w:t>
            </w:r>
          </w:p>
        </w:tc>
        <w:tc>
          <w:tcPr>
            <w:tcW w:w="2693" w:type="dxa"/>
          </w:tcPr>
          <w:p w14:paraId="1EE0E491" w14:textId="1A6FEA39" w:rsidR="0090342C" w:rsidRDefault="00F501AA" w:rsidP="005E1484">
            <w:pPr>
              <w:jc w:val="both"/>
            </w:pPr>
            <w:r w:rsidRPr="00F501AA">
              <w:t>10.3kg</w:t>
            </w:r>
          </w:p>
        </w:tc>
      </w:tr>
      <w:tr w:rsidR="0090342C" w14:paraId="59E6026F" w14:textId="77777777" w:rsidTr="00F16D6F">
        <w:tc>
          <w:tcPr>
            <w:tcW w:w="2689" w:type="dxa"/>
          </w:tcPr>
          <w:p w14:paraId="76EC3709" w14:textId="5A54D0B5" w:rsidR="0090342C" w:rsidRDefault="00F501AA" w:rsidP="005E1484">
            <w:pPr>
              <w:jc w:val="both"/>
            </w:pPr>
            <w:r>
              <w:t>Tempo de carga</w:t>
            </w:r>
          </w:p>
        </w:tc>
        <w:tc>
          <w:tcPr>
            <w:tcW w:w="2693" w:type="dxa"/>
          </w:tcPr>
          <w:p w14:paraId="5F083BAB" w14:textId="12FF2BBF" w:rsidR="0090342C" w:rsidRDefault="00F501AA" w:rsidP="005E1484">
            <w:pPr>
              <w:jc w:val="both"/>
            </w:pPr>
            <w:r w:rsidRPr="00F501AA">
              <w:t>Aprox. 5 hours</w:t>
            </w:r>
          </w:p>
        </w:tc>
      </w:tr>
    </w:tbl>
    <w:p w14:paraId="6221CC5D" w14:textId="77777777" w:rsidR="00A314F9" w:rsidRDefault="00A314F9" w:rsidP="005E1484">
      <w:pPr>
        <w:jc w:val="both"/>
      </w:pPr>
    </w:p>
    <w:p w14:paraId="5A1535E0" w14:textId="73AB3BA1" w:rsidR="005E1484" w:rsidRPr="00E5282C" w:rsidRDefault="005E1484" w:rsidP="005E1484">
      <w:pPr>
        <w:jc w:val="both"/>
      </w:pPr>
      <w:r>
        <w:t xml:space="preserve">MPP e: estará inicialmente disponível apenas </w:t>
      </w:r>
      <w:r w:rsidR="00597D2A">
        <w:t xml:space="preserve">como locação </w:t>
      </w:r>
      <w:r>
        <w:t xml:space="preserve">para clientes corporativos que possuem </w:t>
      </w:r>
      <w:r w:rsidR="001A6C06">
        <w:t xml:space="preserve">motocicletas de uso comercial </w:t>
      </w:r>
      <w:r>
        <w:t xml:space="preserve">Honda e:, entretanto, </w:t>
      </w:r>
      <w:r w:rsidR="009242F6">
        <w:t>futuramente</w:t>
      </w:r>
      <w:r>
        <w:t xml:space="preserve">, a Honda está planejando fornecer MPP e: para empresas que adotarão </w:t>
      </w:r>
      <w:r w:rsidR="009242F6">
        <w:t>a tecnologia</w:t>
      </w:r>
      <w:r>
        <w:t xml:space="preserve"> para seus próprios produtos</w:t>
      </w:r>
      <w:r w:rsidR="009242F6">
        <w:t>.</w:t>
      </w:r>
    </w:p>
    <w:p w14:paraId="58C3EC8E" w14:textId="19890B80" w:rsidR="00145093" w:rsidRDefault="00145093" w:rsidP="00482BF8">
      <w:pPr>
        <w:jc w:val="both"/>
      </w:pPr>
    </w:p>
    <w:p w14:paraId="398AE1BA" w14:textId="20026733" w:rsidR="005A38E0" w:rsidRDefault="005A38E0" w:rsidP="00482BF8">
      <w:pPr>
        <w:jc w:val="both"/>
      </w:pPr>
    </w:p>
    <w:p w14:paraId="06678C41" w14:textId="03D7BFBC" w:rsidR="005A0280" w:rsidRDefault="0047359C" w:rsidP="00482BF8">
      <w:pPr>
        <w:jc w:val="both"/>
      </w:pPr>
      <w:r>
        <w:rPr>
          <w:noProof/>
        </w:rPr>
        <w:drawing>
          <wp:inline distT="0" distB="0" distL="0" distR="0" wp14:anchorId="75C4E503" wp14:editId="3D3F90E6">
            <wp:extent cx="2368550" cy="2052149"/>
            <wp:effectExtent l="0" t="0" r="0" b="5715"/>
            <wp:docPr id="5" name="Imagem 5" descr="c211029ben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211029beng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62" cy="20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B73E" w14:textId="03A71358" w:rsidR="00E07808" w:rsidRPr="00E07808" w:rsidRDefault="00A033B5" w:rsidP="009B383D">
      <w:pPr>
        <w:jc w:val="both"/>
        <w:rPr>
          <w:sz w:val="16"/>
          <w:szCs w:val="16"/>
        </w:rPr>
      </w:pPr>
      <w:r w:rsidRPr="00A033B5">
        <w:rPr>
          <w:sz w:val="16"/>
          <w:szCs w:val="16"/>
        </w:rPr>
        <w:t>Con</w:t>
      </w:r>
      <w:r>
        <w:rPr>
          <w:sz w:val="16"/>
          <w:szCs w:val="16"/>
        </w:rPr>
        <w:t xml:space="preserve">ceito de armazenamento do Honda </w:t>
      </w:r>
      <w:r w:rsidR="009B383D">
        <w:rPr>
          <w:sz w:val="16"/>
          <w:szCs w:val="16"/>
        </w:rPr>
        <w:t xml:space="preserve">Mobile </w:t>
      </w:r>
      <w:r>
        <w:rPr>
          <w:sz w:val="16"/>
          <w:szCs w:val="16"/>
        </w:rPr>
        <w:t xml:space="preserve">Power </w:t>
      </w:r>
      <w:r w:rsidR="009B383D">
        <w:rPr>
          <w:sz w:val="16"/>
          <w:szCs w:val="16"/>
        </w:rPr>
        <w:t xml:space="preserve">Pack </w:t>
      </w:r>
      <w:r w:rsidRPr="00A033B5">
        <w:rPr>
          <w:sz w:val="16"/>
          <w:szCs w:val="16"/>
        </w:rPr>
        <w:t>e:</w:t>
      </w:r>
      <w:r w:rsidR="009B383D">
        <w:rPr>
          <w:sz w:val="16"/>
          <w:szCs w:val="16"/>
        </w:rPr>
        <w:t>, um m</w:t>
      </w:r>
      <w:r w:rsidR="00E07808" w:rsidRPr="00E07808">
        <w:rPr>
          <w:sz w:val="16"/>
          <w:szCs w:val="16"/>
        </w:rPr>
        <w:t>odelo conceito para um sistema que permite o uso de MPP como uma bateria de armazenamento doméstico</w:t>
      </w:r>
    </w:p>
    <w:p w14:paraId="29E3DC6F" w14:textId="68A1BC33" w:rsidR="00E07808" w:rsidRDefault="00E07808" w:rsidP="00482BF8">
      <w:pPr>
        <w:jc w:val="both"/>
        <w:rPr>
          <w:sz w:val="16"/>
          <w:szCs w:val="16"/>
        </w:rPr>
      </w:pPr>
    </w:p>
    <w:p w14:paraId="1FBDD29C" w14:textId="50457B98" w:rsidR="00C6402E" w:rsidRDefault="00C6402E" w:rsidP="00482BF8">
      <w:pPr>
        <w:jc w:val="both"/>
        <w:rPr>
          <w:sz w:val="16"/>
          <w:szCs w:val="16"/>
        </w:rPr>
      </w:pPr>
    </w:p>
    <w:p w14:paraId="14A356A8" w14:textId="77777777" w:rsidR="00C6402E" w:rsidRDefault="00C6402E" w:rsidP="00482BF8">
      <w:pPr>
        <w:jc w:val="both"/>
        <w:rPr>
          <w:sz w:val="16"/>
          <w:szCs w:val="16"/>
        </w:rPr>
      </w:pPr>
      <w:bookmarkStart w:id="0" w:name="_GoBack"/>
      <w:bookmarkEnd w:id="0"/>
    </w:p>
    <w:p w14:paraId="02988DDA" w14:textId="3186913A" w:rsidR="00C6402E" w:rsidRDefault="00C6402E" w:rsidP="00482BF8">
      <w:pPr>
        <w:jc w:val="both"/>
        <w:rPr>
          <w:sz w:val="16"/>
          <w:szCs w:val="16"/>
        </w:rPr>
      </w:pPr>
    </w:p>
    <w:p w14:paraId="60569254" w14:textId="77777777" w:rsidR="00C6402E" w:rsidRPr="00A753C0" w:rsidRDefault="00C6402E" w:rsidP="00C6402E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lastRenderedPageBreak/>
        <w:t xml:space="preserve">2014, em uma iniciativa inédita no segmento, a Honda inaugurou seu primeiro parque eólico do mundo, na cidade de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Xangri-Lá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Aircraft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Company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anunciou a expansão das vendas do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HondaJet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74387B40" w14:textId="77777777" w:rsidR="00C6402E" w:rsidRPr="001B719A" w:rsidRDefault="00C6402E" w:rsidP="00C6402E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35DD452E" w14:textId="77777777" w:rsidR="00C6402E" w:rsidRPr="001B719A" w:rsidRDefault="00C6402E" w:rsidP="00C6402E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127E3E49" w14:textId="77777777" w:rsidR="00C6402E" w:rsidRPr="009B383D" w:rsidRDefault="00C6402E" w:rsidP="00482BF8">
      <w:pPr>
        <w:jc w:val="both"/>
        <w:rPr>
          <w:sz w:val="16"/>
          <w:szCs w:val="16"/>
        </w:rPr>
      </w:pPr>
    </w:p>
    <w:sectPr w:rsidR="00C6402E" w:rsidRPr="009B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1359" w14:textId="77777777" w:rsidR="008C2BDC" w:rsidRDefault="008C2BDC" w:rsidP="00065EFD">
      <w:pPr>
        <w:spacing w:after="0" w:line="240" w:lineRule="auto"/>
      </w:pPr>
      <w:r>
        <w:separator/>
      </w:r>
    </w:p>
  </w:endnote>
  <w:endnote w:type="continuationSeparator" w:id="0">
    <w:p w14:paraId="5A4E00D5" w14:textId="77777777" w:rsidR="008C2BDC" w:rsidRDefault="008C2BDC" w:rsidP="0006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2809" w14:textId="77777777" w:rsidR="008C2BDC" w:rsidRDefault="008C2BDC" w:rsidP="00065EFD">
      <w:pPr>
        <w:spacing w:after="0" w:line="240" w:lineRule="auto"/>
      </w:pPr>
      <w:r>
        <w:separator/>
      </w:r>
    </w:p>
  </w:footnote>
  <w:footnote w:type="continuationSeparator" w:id="0">
    <w:p w14:paraId="2B27D2B7" w14:textId="77777777" w:rsidR="008C2BDC" w:rsidRDefault="008C2BDC" w:rsidP="0006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0119"/>
    <w:multiLevelType w:val="hybridMultilevel"/>
    <w:tmpl w:val="B9CA2D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73650D"/>
    <w:multiLevelType w:val="hybridMultilevel"/>
    <w:tmpl w:val="A3CE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3"/>
    <w:rsid w:val="00004B26"/>
    <w:rsid w:val="00007000"/>
    <w:rsid w:val="000117F3"/>
    <w:rsid w:val="0001673E"/>
    <w:rsid w:val="00027791"/>
    <w:rsid w:val="00027E08"/>
    <w:rsid w:val="00033342"/>
    <w:rsid w:val="000420D7"/>
    <w:rsid w:val="00046501"/>
    <w:rsid w:val="00052CB6"/>
    <w:rsid w:val="000604DC"/>
    <w:rsid w:val="00060EEF"/>
    <w:rsid w:val="00065EFD"/>
    <w:rsid w:val="00082D5D"/>
    <w:rsid w:val="0008391C"/>
    <w:rsid w:val="000D2083"/>
    <w:rsid w:val="000D3FC6"/>
    <w:rsid w:val="000E4E80"/>
    <w:rsid w:val="0012150D"/>
    <w:rsid w:val="0012422D"/>
    <w:rsid w:val="001353E8"/>
    <w:rsid w:val="00145093"/>
    <w:rsid w:val="0016156B"/>
    <w:rsid w:val="001A3E34"/>
    <w:rsid w:val="001A6C06"/>
    <w:rsid w:val="001A782D"/>
    <w:rsid w:val="001C068F"/>
    <w:rsid w:val="001C53F1"/>
    <w:rsid w:val="001D4E71"/>
    <w:rsid w:val="001D56B6"/>
    <w:rsid w:val="001D671B"/>
    <w:rsid w:val="001E3BD8"/>
    <w:rsid w:val="001E6B38"/>
    <w:rsid w:val="00200440"/>
    <w:rsid w:val="00237B5A"/>
    <w:rsid w:val="00241B41"/>
    <w:rsid w:val="002558CE"/>
    <w:rsid w:val="0026013F"/>
    <w:rsid w:val="00270B65"/>
    <w:rsid w:val="0028020A"/>
    <w:rsid w:val="00284D10"/>
    <w:rsid w:val="0028617A"/>
    <w:rsid w:val="002B238B"/>
    <w:rsid w:val="002C30CC"/>
    <w:rsid w:val="002E1306"/>
    <w:rsid w:val="00317974"/>
    <w:rsid w:val="00352EAC"/>
    <w:rsid w:val="003536AE"/>
    <w:rsid w:val="003606C2"/>
    <w:rsid w:val="003637BD"/>
    <w:rsid w:val="00371CDF"/>
    <w:rsid w:val="00384A91"/>
    <w:rsid w:val="003C14B9"/>
    <w:rsid w:val="003E0D70"/>
    <w:rsid w:val="00401B83"/>
    <w:rsid w:val="00415DC8"/>
    <w:rsid w:val="00416B35"/>
    <w:rsid w:val="00433F9A"/>
    <w:rsid w:val="004361F6"/>
    <w:rsid w:val="00440E9F"/>
    <w:rsid w:val="00461E9B"/>
    <w:rsid w:val="004634A4"/>
    <w:rsid w:val="0047359C"/>
    <w:rsid w:val="0048168B"/>
    <w:rsid w:val="00482BF8"/>
    <w:rsid w:val="00496CB5"/>
    <w:rsid w:val="004B0243"/>
    <w:rsid w:val="004B5E13"/>
    <w:rsid w:val="004C0C09"/>
    <w:rsid w:val="004D76C9"/>
    <w:rsid w:val="004E4D27"/>
    <w:rsid w:val="004F5AB7"/>
    <w:rsid w:val="004F5B1B"/>
    <w:rsid w:val="00505093"/>
    <w:rsid w:val="005265BF"/>
    <w:rsid w:val="00555A9D"/>
    <w:rsid w:val="00573879"/>
    <w:rsid w:val="00597D2A"/>
    <w:rsid w:val="005A0280"/>
    <w:rsid w:val="005A38E0"/>
    <w:rsid w:val="005E1484"/>
    <w:rsid w:val="005F3F05"/>
    <w:rsid w:val="005F4093"/>
    <w:rsid w:val="0062126F"/>
    <w:rsid w:val="00641C33"/>
    <w:rsid w:val="00643011"/>
    <w:rsid w:val="006511AA"/>
    <w:rsid w:val="006B38AD"/>
    <w:rsid w:val="006D4523"/>
    <w:rsid w:val="006E16D4"/>
    <w:rsid w:val="006F496B"/>
    <w:rsid w:val="00707C8C"/>
    <w:rsid w:val="00713A5F"/>
    <w:rsid w:val="00720051"/>
    <w:rsid w:val="007223C3"/>
    <w:rsid w:val="00751214"/>
    <w:rsid w:val="007530C6"/>
    <w:rsid w:val="007620BA"/>
    <w:rsid w:val="00765B8E"/>
    <w:rsid w:val="00771825"/>
    <w:rsid w:val="0078311C"/>
    <w:rsid w:val="00786748"/>
    <w:rsid w:val="00791BE4"/>
    <w:rsid w:val="00797A9A"/>
    <w:rsid w:val="007B04EA"/>
    <w:rsid w:val="008104FF"/>
    <w:rsid w:val="00814577"/>
    <w:rsid w:val="00817516"/>
    <w:rsid w:val="00831C77"/>
    <w:rsid w:val="008338AF"/>
    <w:rsid w:val="008352E2"/>
    <w:rsid w:val="00840540"/>
    <w:rsid w:val="00865A9E"/>
    <w:rsid w:val="00873777"/>
    <w:rsid w:val="008824AB"/>
    <w:rsid w:val="008A28ED"/>
    <w:rsid w:val="008A364F"/>
    <w:rsid w:val="008B7E50"/>
    <w:rsid w:val="008C2BDC"/>
    <w:rsid w:val="008C7D2D"/>
    <w:rsid w:val="008D7B7C"/>
    <w:rsid w:val="0090342C"/>
    <w:rsid w:val="009242F6"/>
    <w:rsid w:val="009636F8"/>
    <w:rsid w:val="00967C68"/>
    <w:rsid w:val="009B383D"/>
    <w:rsid w:val="009B68F3"/>
    <w:rsid w:val="009D006C"/>
    <w:rsid w:val="009E2ADF"/>
    <w:rsid w:val="009F796C"/>
    <w:rsid w:val="00A002E6"/>
    <w:rsid w:val="00A033B5"/>
    <w:rsid w:val="00A272ED"/>
    <w:rsid w:val="00A314F9"/>
    <w:rsid w:val="00A34B95"/>
    <w:rsid w:val="00A5560E"/>
    <w:rsid w:val="00A65F5D"/>
    <w:rsid w:val="00A70985"/>
    <w:rsid w:val="00A80E4E"/>
    <w:rsid w:val="00A95986"/>
    <w:rsid w:val="00A96E68"/>
    <w:rsid w:val="00A97903"/>
    <w:rsid w:val="00AA0397"/>
    <w:rsid w:val="00AA1398"/>
    <w:rsid w:val="00AC5D76"/>
    <w:rsid w:val="00AE116D"/>
    <w:rsid w:val="00AE6C3D"/>
    <w:rsid w:val="00B1234D"/>
    <w:rsid w:val="00B1797A"/>
    <w:rsid w:val="00B428A7"/>
    <w:rsid w:val="00B44513"/>
    <w:rsid w:val="00B63DFA"/>
    <w:rsid w:val="00B700E4"/>
    <w:rsid w:val="00BA35C5"/>
    <w:rsid w:val="00BA7C72"/>
    <w:rsid w:val="00BB2CBF"/>
    <w:rsid w:val="00BB7D13"/>
    <w:rsid w:val="00BC762D"/>
    <w:rsid w:val="00BD0DFD"/>
    <w:rsid w:val="00BE1447"/>
    <w:rsid w:val="00BF2C63"/>
    <w:rsid w:val="00BF3204"/>
    <w:rsid w:val="00C05FEF"/>
    <w:rsid w:val="00C0653C"/>
    <w:rsid w:val="00C6402E"/>
    <w:rsid w:val="00C77332"/>
    <w:rsid w:val="00CB0480"/>
    <w:rsid w:val="00CB5A6B"/>
    <w:rsid w:val="00CC0826"/>
    <w:rsid w:val="00CF6963"/>
    <w:rsid w:val="00D07F8D"/>
    <w:rsid w:val="00D43306"/>
    <w:rsid w:val="00D46473"/>
    <w:rsid w:val="00D47196"/>
    <w:rsid w:val="00DE66E1"/>
    <w:rsid w:val="00E07808"/>
    <w:rsid w:val="00E14EFE"/>
    <w:rsid w:val="00E2055C"/>
    <w:rsid w:val="00E5282C"/>
    <w:rsid w:val="00E566B5"/>
    <w:rsid w:val="00E60BD1"/>
    <w:rsid w:val="00E83637"/>
    <w:rsid w:val="00E9192F"/>
    <w:rsid w:val="00E92168"/>
    <w:rsid w:val="00E97DAA"/>
    <w:rsid w:val="00EC1CB0"/>
    <w:rsid w:val="00ED6690"/>
    <w:rsid w:val="00EE39A1"/>
    <w:rsid w:val="00EF2FA0"/>
    <w:rsid w:val="00F039E8"/>
    <w:rsid w:val="00F044D0"/>
    <w:rsid w:val="00F04DF2"/>
    <w:rsid w:val="00F052D1"/>
    <w:rsid w:val="00F12A5D"/>
    <w:rsid w:val="00F130BE"/>
    <w:rsid w:val="00F16D6F"/>
    <w:rsid w:val="00F21F8C"/>
    <w:rsid w:val="00F36BF8"/>
    <w:rsid w:val="00F3796C"/>
    <w:rsid w:val="00F501AA"/>
    <w:rsid w:val="00F50ADB"/>
    <w:rsid w:val="00FA7BED"/>
    <w:rsid w:val="00FC0D48"/>
    <w:rsid w:val="00FD6611"/>
    <w:rsid w:val="00FE2EEF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CE5"/>
  <w15:chartTrackingRefBased/>
  <w15:docId w15:val="{0F93FDC3-D132-4D27-9491-168068E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0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5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EFD"/>
  </w:style>
  <w:style w:type="paragraph" w:styleId="Rodap">
    <w:name w:val="footer"/>
    <w:basedOn w:val="Normal"/>
    <w:link w:val="RodapChar"/>
    <w:uiPriority w:val="99"/>
    <w:unhideWhenUsed/>
    <w:rsid w:val="00065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EF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282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E5282C"/>
  </w:style>
  <w:style w:type="table" w:styleId="Tabelacomgrade">
    <w:name w:val="Table Grid"/>
    <w:basedOn w:val="Tabelanormal"/>
    <w:uiPriority w:val="39"/>
    <w:rsid w:val="009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B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5B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5B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B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B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CABF443593B24D83E9D91B4C34EFDE" ma:contentTypeVersion="14" ma:contentTypeDescription="新しいドキュメントを作成します。" ma:contentTypeScope="" ma:versionID="01470b4456049ad93700240b27c9d7bb">
  <xsd:schema xmlns:xsd="http://www.w3.org/2001/XMLSchema" xmlns:xs="http://www.w3.org/2001/XMLSchema" xmlns:p="http://schemas.microsoft.com/office/2006/metadata/properties" xmlns:ns3="bac7a6da-d4b6-4bc3-9537-d689dabe8ff2" xmlns:ns4="188f2d80-e489-44eb-9210-a15572c8dea2" targetNamespace="http://schemas.microsoft.com/office/2006/metadata/properties" ma:root="true" ma:fieldsID="40eee1a7bb4990926f128c7e6d49c6d8" ns3:_="" ns4:_="">
    <xsd:import namespace="bac7a6da-d4b6-4bc3-9537-d689dabe8ff2"/>
    <xsd:import namespace="188f2d80-e489-44eb-9210-a15572c8de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a6da-d4b6-4bc3-9537-d689dabe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2d80-e489-44eb-9210-a15572c8d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324DF-144F-4CB1-89EF-59B08E29F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7a6da-d4b6-4bc3-9537-d689dabe8ff2"/>
    <ds:schemaRef ds:uri="188f2d80-e489-44eb-9210-a15572c8d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21B2B-F84B-4AC0-AAF6-2913B1574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ED6A-A0D1-4B02-BD0B-F7D41729F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13</cp:revision>
  <dcterms:created xsi:type="dcterms:W3CDTF">2021-10-29T18:56:00Z</dcterms:created>
  <dcterms:modified xsi:type="dcterms:W3CDTF">2021-10-29T21:59:00Z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0x0101000CCABF443593B24D83E9D91B4C34EFDE</vt:lpwstr>
  </property>
</Properties>
</file>